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42E4E">
      <w:pPr>
        <w:pStyle w:val="3"/>
        <w:spacing w:after="80"/>
      </w:pPr>
      <w:bookmarkStart w:id="0" w:name="_GoBack"/>
      <w:bookmarkEnd w:id="0"/>
      <w:r>
        <w:rPr>
          <w:rFonts w:ascii="Arial" w:hAnsi="Arial" w:eastAsia="Arial"/>
          <w:color w:val="C65A16"/>
        </w:rPr>
        <w:t>1. Product Name</w:t>
      </w:r>
    </w:p>
    <w:p w14:paraId="04014ABE">
      <w:pPr>
        <w:spacing w:after="80"/>
      </w:pPr>
      <w:r>
        <w:t>NIC</w:t>
      </w:r>
      <w:r>
        <w:rPr>
          <w:vertAlign w:val="superscript"/>
        </w:rPr>
        <w:t>®</w:t>
      </w:r>
      <w:r>
        <w:t xml:space="preserve"> KD Blue Heat-Treated NiTi Rotary Files</w:t>
      </w:r>
    </w:p>
    <w:p w14:paraId="409D1DC9">
      <w:pPr>
        <w:spacing w:after="80"/>
      </w:pPr>
      <w:r>
        <w:t>This IFU applies to the NIC</w:t>
      </w:r>
      <w:r>
        <w:rPr>
          <w:vertAlign w:val="superscript"/>
        </w:rPr>
        <w:t>®</w:t>
      </w:r>
      <w:r>
        <w:t xml:space="preserve"> KD Blue rotary files listed below.</w:t>
      </w:r>
    </w:p>
    <w:p w14:paraId="668C7BCA">
      <w:pPr>
        <w:pStyle w:val="3"/>
        <w:spacing w:after="80"/>
      </w:pPr>
      <w:r>
        <w:rPr>
          <w:rFonts w:ascii="Arial" w:hAnsi="Arial" w:eastAsia="Arial"/>
          <w:color w:val="C65A16"/>
        </w:rPr>
        <w:t>2. Product Description</w:t>
      </w:r>
    </w:p>
    <w:p w14:paraId="3675D112">
      <w:pPr>
        <w:spacing w:after="80"/>
      </w:pPr>
      <w:r>
        <w:t>NIC</w:t>
      </w:r>
      <w:r>
        <w:rPr>
          <w:vertAlign w:val="superscript"/>
        </w:rPr>
        <w:t>®</w:t>
      </w:r>
      <w:r>
        <w:t xml:space="preserve"> KD Blue files are engine-driven nickel-titanium root-canal instruments intended for continuous rotary root canal preparation.</w:t>
      </w:r>
    </w:p>
    <w:p w14:paraId="60E26D76">
      <w:pPr>
        <w:spacing w:after="80"/>
      </w:pPr>
      <w:r>
        <w:t>The files are manufactured from NIC</w:t>
      </w:r>
      <w:r>
        <w:rPr>
          <w:vertAlign w:val="superscript"/>
        </w:rPr>
        <w:t>®</w:t>
      </w:r>
      <w:r>
        <w:t xml:space="preserve"> MaxTech 6.0 blue heat-treated NiTi alloy, designed to provide high flexibility, reduced shape memory, and improved cyclic fatigue resistance for curved and complex canal preparation.</w:t>
      </w:r>
    </w:p>
    <w:p w14:paraId="698E4479">
      <w:pPr>
        <w:spacing w:after="80"/>
      </w:pPr>
      <w:r>
        <w:t>The KD Blue system provides a constant-taper Crown-Down rotary workflow with 12 size-and-taper configurations in .04 and .06 tapers, covering ISO tip sizes 15 through 40.</w:t>
      </w:r>
    </w:p>
    <w:p w14:paraId="11E5B26C">
      <w:pPr>
        <w:spacing w:after="80"/>
      </w:pPr>
      <w:r>
        <w:t xml:space="preserve">The file design includes a convex triangular cross-section, a non-cutting guiding tip, and a </w:t>
      </w:r>
      <w:r>
        <w:rPr>
          <w:rFonts w:hint="eastAsia" w:eastAsia="宋体"/>
          <w:lang w:eastAsia="zh-CN"/>
        </w:rPr>
        <w:t xml:space="preserve">0.8-1.4 </w:t>
      </w:r>
      <w:r>
        <w:t>mm maximum flute diameter to support cutting efficiency, canal-centred progression, and controlled coronal enlargement.</w:t>
      </w:r>
    </w:p>
    <w:p w14:paraId="33FA9242">
      <w:pPr>
        <w:pStyle w:val="16"/>
      </w:pPr>
      <w:r>
        <w:t>Continuous clockwise rotary movement</w:t>
      </w:r>
    </w:p>
    <w:p w14:paraId="2EC9AA38">
      <w:pPr>
        <w:pStyle w:val="16"/>
      </w:pPr>
      <w:r>
        <w:t>Crown-Down shaping technique</w:t>
      </w:r>
    </w:p>
    <w:p w14:paraId="099401AF">
      <w:pPr>
        <w:pStyle w:val="16"/>
      </w:pPr>
      <w:r>
        <w:t>12 size-and-taper configurations</w:t>
      </w:r>
    </w:p>
    <w:p w14:paraId="0E115A2A">
      <w:pPr>
        <w:pStyle w:val="16"/>
      </w:pPr>
      <w:r>
        <w:t>.04 and .06 constant tapers</w:t>
      </w:r>
    </w:p>
    <w:p w14:paraId="4ABCAA97">
      <w:pPr>
        <w:pStyle w:val="16"/>
      </w:pPr>
      <w:r>
        <w:t>ISO tip sizes 15 through 40</w:t>
      </w:r>
    </w:p>
    <w:p w14:paraId="42E93893">
      <w:pPr>
        <w:pStyle w:val="16"/>
      </w:pPr>
      <w:r>
        <w:t>MaxTech 6.0 blue heat-treated NiTi alloy</w:t>
      </w:r>
    </w:p>
    <w:p w14:paraId="082C3174">
      <w:pPr>
        <w:pStyle w:val="16"/>
      </w:pPr>
      <w:r>
        <w:t>Convex triangular cross-section</w:t>
      </w:r>
    </w:p>
    <w:p w14:paraId="2271DEA6">
      <w:pPr>
        <w:pStyle w:val="16"/>
      </w:pPr>
      <w:r>
        <w:t>Non-cutting guiding tip</w:t>
      </w:r>
    </w:p>
    <w:p w14:paraId="05773FEE">
      <w:pPr>
        <w:pStyle w:val="16"/>
      </w:pPr>
      <w:r>
        <w:rPr>
          <w:rFonts w:hint="eastAsia" w:eastAsia="宋体"/>
          <w:lang w:eastAsia="zh-CN"/>
        </w:rPr>
        <w:t xml:space="preserve"> 0.8-1.4 </w:t>
      </w:r>
      <w:r>
        <w:t xml:space="preserve"> mm maximum flute diameter</w:t>
      </w:r>
    </w:p>
    <w:p w14:paraId="4ADC34B9">
      <w:pPr>
        <w:pStyle w:val="16"/>
      </w:pPr>
      <w:r>
        <w:t>6 instruments per pack</w:t>
      </w:r>
    </w:p>
    <w:p w14:paraId="7CDF7DF0">
      <w:pPr>
        <w:pStyle w:val="3"/>
        <w:spacing w:after="80"/>
      </w:pPr>
      <w:r>
        <w:rPr>
          <w:rFonts w:ascii="Arial" w:hAnsi="Arial" w:eastAsia="Arial"/>
          <w:color w:val="C65A16"/>
        </w:rPr>
        <w:t>3. Composition</w:t>
      </w:r>
    </w:p>
    <w:p w14:paraId="24EF4D23">
      <w:pPr>
        <w:spacing w:after="80"/>
      </w:pPr>
      <w:r>
        <w:t>The cutting part of the instruments is made of MaxTech 6.0 blue heat-treated nickel-titanium alloy.</w:t>
      </w:r>
    </w:p>
    <w:tbl>
      <w:tblPr>
        <w:tblStyle w:val="33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5760"/>
      </w:tblGrid>
      <w:tr w14:paraId="4184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360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0B6EEF64">
            <w:pPr>
              <w:spacing w:after="0" w:line="252" w:lineRule="auto"/>
            </w:pPr>
            <w:r>
              <w:rPr>
                <w:b/>
                <w:color w:val="FFFFFF"/>
              </w:rPr>
              <w:t>Component</w:t>
            </w:r>
          </w:p>
        </w:tc>
        <w:tc>
          <w:tcPr>
            <w:tcW w:w="576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39E2813B">
            <w:pPr>
              <w:spacing w:after="0" w:line="252" w:lineRule="auto"/>
            </w:pPr>
            <w:r>
              <w:rPr>
                <w:b/>
                <w:color w:val="FFFFFF"/>
              </w:rPr>
              <w:t>Material</w:t>
            </w:r>
          </w:p>
        </w:tc>
      </w:tr>
      <w:tr w14:paraId="0A705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360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52AA6EA">
            <w:pPr>
              <w:spacing w:after="0" w:line="252" w:lineRule="auto"/>
            </w:pPr>
            <w:r>
              <w:rPr>
                <w:color w:val="20272C"/>
              </w:rPr>
              <w:t>Working part</w:t>
            </w:r>
          </w:p>
        </w:tc>
        <w:tc>
          <w:tcPr>
            <w:tcW w:w="576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2052255E">
            <w:pPr>
              <w:spacing w:after="0" w:line="252" w:lineRule="auto"/>
            </w:pPr>
            <w:r>
              <w:rPr>
                <w:color w:val="20272C"/>
              </w:rPr>
              <w:t>MaxTech 6.0 blue heat-treated NiTi alloy</w:t>
            </w:r>
          </w:p>
        </w:tc>
      </w:tr>
      <w:tr w14:paraId="3C994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360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11BED8AF">
            <w:pPr>
              <w:spacing w:after="0" w:line="252" w:lineRule="auto"/>
            </w:pPr>
            <w:r>
              <w:rPr>
                <w:color w:val="20272C"/>
              </w:rPr>
              <w:t>Shank</w:t>
            </w:r>
          </w:p>
        </w:tc>
        <w:tc>
          <w:tcPr>
            <w:tcW w:w="576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618B6B1E">
            <w:pPr>
              <w:spacing w:after="0" w:line="252" w:lineRule="auto"/>
            </w:pPr>
            <w:r>
              <w:rPr>
                <w:color w:val="20272C"/>
              </w:rPr>
              <w:t>Metal alloy</w:t>
            </w:r>
          </w:p>
        </w:tc>
      </w:tr>
      <w:tr w14:paraId="51CE2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360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5FDBFE39">
            <w:pPr>
              <w:spacing w:after="0" w:line="252" w:lineRule="auto"/>
            </w:pPr>
            <w:r>
              <w:rPr>
                <w:color w:val="20272C"/>
              </w:rPr>
              <w:t>Stopper</w:t>
            </w:r>
          </w:p>
        </w:tc>
        <w:tc>
          <w:tcPr>
            <w:tcW w:w="576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5B4BD48">
            <w:pPr>
              <w:spacing w:after="0" w:line="252" w:lineRule="auto"/>
            </w:pPr>
            <w:r>
              <w:rPr>
                <w:color w:val="20272C"/>
              </w:rPr>
              <w:t>Silicone rubber</w:t>
            </w:r>
          </w:p>
        </w:tc>
      </w:tr>
    </w:tbl>
    <w:p w14:paraId="6DCF3976">
      <w:pPr>
        <w:pStyle w:val="3"/>
        <w:spacing w:after="80"/>
      </w:pPr>
      <w:r>
        <w:rPr>
          <w:rFonts w:ascii="Arial" w:hAnsi="Arial" w:eastAsia="Arial"/>
          <w:color w:val="C65A16"/>
        </w:rPr>
        <w:t>4. Available Files</w:t>
      </w:r>
    </w:p>
    <w:p w14:paraId="41DC4307">
      <w:pPr>
        <w:spacing w:after="80"/>
      </w:pPr>
      <w:r>
        <w:t>The KD Blue range includes 12 size-and-taper combinations. Files larger than 40/.04 or 40/.06 are not included in this system.</w:t>
      </w:r>
    </w:p>
    <w:tbl>
      <w:tblPr>
        <w:tblStyle w:val="33"/>
        <w:tblW w:w="97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3168"/>
        <w:gridCol w:w="3024"/>
        <w:gridCol w:w="2160"/>
      </w:tblGrid>
      <w:tr w14:paraId="1B363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3A043165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Taper</w:t>
            </w:r>
          </w:p>
        </w:tc>
        <w:tc>
          <w:tcPr>
            <w:tcW w:w="316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4DE7BEF7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Available ISO Sizes</w:t>
            </w:r>
          </w:p>
        </w:tc>
        <w:tc>
          <w:tcPr>
            <w:tcW w:w="30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4E95EA50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Motion</w:t>
            </w:r>
          </w:p>
        </w:tc>
        <w:tc>
          <w:tcPr>
            <w:tcW w:w="216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684ADE12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Available Lengths</w:t>
            </w:r>
          </w:p>
        </w:tc>
      </w:tr>
      <w:tr w14:paraId="1BF8B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0B0EEFB4">
            <w:pPr>
              <w:spacing w:after="0" w:line="252" w:lineRule="auto"/>
            </w:pPr>
            <w:r>
              <w:rPr>
                <w:color w:val="20272C"/>
                <w:sz w:val="17"/>
              </w:rPr>
              <w:t>.04</w:t>
            </w:r>
          </w:p>
        </w:tc>
        <w:tc>
          <w:tcPr>
            <w:tcW w:w="316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570E8E1A">
            <w:pPr>
              <w:spacing w:after="0" w:line="252" w:lineRule="auto"/>
            </w:pPr>
            <w:r>
              <w:rPr>
                <w:color w:val="20272C"/>
                <w:sz w:val="17"/>
              </w:rPr>
              <w:t>15, 20, 25, 30, 35, 40</w:t>
            </w:r>
          </w:p>
        </w:tc>
        <w:tc>
          <w:tcPr>
            <w:tcW w:w="30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646E60BF">
            <w:pPr>
              <w:spacing w:after="0" w:line="252" w:lineRule="auto"/>
            </w:pPr>
            <w:r>
              <w:rPr>
                <w:color w:val="20272C"/>
                <w:sz w:val="17"/>
              </w:rPr>
              <w:t>Continuous clockwise rotation</w:t>
            </w:r>
          </w:p>
        </w:tc>
        <w:tc>
          <w:tcPr>
            <w:tcW w:w="216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9826F67">
            <w:pPr>
              <w:spacing w:after="0" w:line="252" w:lineRule="auto"/>
            </w:pPr>
            <w:r>
              <w:rPr>
                <w:color w:val="20272C"/>
                <w:sz w:val="17"/>
              </w:rPr>
              <w:t>21 mm, 25 mm, 31 mm</w:t>
            </w:r>
          </w:p>
        </w:tc>
      </w:tr>
      <w:tr w14:paraId="626EB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4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EBCDD33">
            <w:pPr>
              <w:spacing w:after="0" w:line="252" w:lineRule="auto"/>
            </w:pPr>
            <w:r>
              <w:rPr>
                <w:color w:val="20272C"/>
                <w:sz w:val="17"/>
              </w:rPr>
              <w:t>.06</w:t>
            </w:r>
          </w:p>
        </w:tc>
        <w:tc>
          <w:tcPr>
            <w:tcW w:w="316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1E7EC57F">
            <w:pPr>
              <w:spacing w:after="0" w:line="252" w:lineRule="auto"/>
            </w:pPr>
            <w:r>
              <w:rPr>
                <w:color w:val="20272C"/>
                <w:sz w:val="17"/>
              </w:rPr>
              <w:t>15, 20, 25, 30, 35, 40</w:t>
            </w:r>
          </w:p>
        </w:tc>
        <w:tc>
          <w:tcPr>
            <w:tcW w:w="30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006B560F">
            <w:pPr>
              <w:spacing w:after="0" w:line="252" w:lineRule="auto"/>
            </w:pPr>
            <w:r>
              <w:rPr>
                <w:color w:val="20272C"/>
                <w:sz w:val="17"/>
              </w:rPr>
              <w:t>Continuous clockwise rotation</w:t>
            </w:r>
          </w:p>
        </w:tc>
        <w:tc>
          <w:tcPr>
            <w:tcW w:w="216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30D1246A">
            <w:pPr>
              <w:spacing w:after="0" w:line="252" w:lineRule="auto"/>
            </w:pPr>
            <w:r>
              <w:rPr>
                <w:color w:val="20272C"/>
                <w:sz w:val="17"/>
              </w:rPr>
              <w:t>21 mm, 25 mm, 31 mm</w:t>
            </w:r>
          </w:p>
        </w:tc>
      </w:tr>
    </w:tbl>
    <w:p w14:paraId="4D16E7B7">
      <w:pPr>
        <w:pStyle w:val="3"/>
        <w:spacing w:after="80"/>
      </w:pPr>
      <w:r>
        <w:rPr>
          <w:rFonts w:ascii="Arial" w:hAnsi="Arial" w:eastAsia="Arial"/>
          <w:color w:val="C65A16"/>
        </w:rPr>
        <w:t>5. Intended Use</w:t>
      </w:r>
    </w:p>
    <w:p w14:paraId="02C4427B">
      <w:pPr>
        <w:spacing w:after="80"/>
      </w:pPr>
      <w:r>
        <w:t>NIC</w:t>
      </w:r>
      <w:r>
        <w:rPr>
          <w:vertAlign w:val="superscript"/>
        </w:rPr>
        <w:t>®</w:t>
      </w:r>
      <w:r>
        <w:t xml:space="preserve"> KD Blue rotary files are dental root-canal instruments intended for use by qualified dental professionals for cleaning, shaping, and preparing root canals during endodontic treatment.</w:t>
      </w:r>
    </w:p>
    <w:p w14:paraId="3E372AD9">
      <w:pPr>
        <w:spacing w:after="80"/>
      </w:pPr>
      <w:r>
        <w:t>The files are intended to be used with a compatible torque-controlled endodontic motor in continuous clockwise rotation. They are not intended for reciprocating motion.</w:t>
      </w:r>
    </w:p>
    <w:p w14:paraId="65738938">
      <w:pPr>
        <w:pStyle w:val="3"/>
        <w:spacing w:after="80"/>
      </w:pPr>
      <w:r>
        <w:rPr>
          <w:rFonts w:ascii="Arial" w:hAnsi="Arial" w:eastAsia="Arial"/>
          <w:color w:val="C65A16"/>
        </w:rPr>
        <w:t>6. Indications for Use</w:t>
      </w:r>
    </w:p>
    <w:p w14:paraId="1C6417A4">
      <w:pPr>
        <w:spacing w:after="80"/>
      </w:pPr>
      <w:r>
        <w:t>NIC</w:t>
      </w:r>
      <w:r>
        <w:rPr>
          <w:vertAlign w:val="superscript"/>
        </w:rPr>
        <w:t>®</w:t>
      </w:r>
      <w:r>
        <w:t xml:space="preserve"> KD Blue files are indicated for the removal of dentin and shaping of the root canal system in permanent teeth.</w:t>
      </w:r>
    </w:p>
    <w:p w14:paraId="46EBB071">
      <w:pPr>
        <w:spacing w:after="80"/>
      </w:pPr>
      <w:r>
        <w:t>KD Blue is intended for Crown-Down shaping where the clinician requires a broad ISO 15–40 size range and a choice between .04 and .06 tapers. File selection depends on canal anatomy, canal curvature, glide-path quality, and clinical judgment.</w:t>
      </w:r>
    </w:p>
    <w:p w14:paraId="5ADCABED">
      <w:pPr>
        <w:spacing w:after="80"/>
      </w:pPr>
      <w:r>
        <w:t>The .04 taper may be selected when flexibility and conservative enlargement are priorities. The .06 taper may be selected in straighter canals, mild-to-moderate curvatures, or coronal shaping when clinically appropriate.</w:t>
      </w:r>
    </w:p>
    <w:p w14:paraId="5EBC8ADF">
      <w:pPr>
        <w:spacing w:after="80"/>
      </w:pPr>
      <w:r>
        <w:t>These instruments are intended for use only in a clinical or hospital environment by qualified dental professionals following standard dental safety protocols, including gloves, protective eyewear, mask, and rubber dam isolation.</w:t>
      </w:r>
    </w:p>
    <w:p w14:paraId="02287CCF">
      <w:pPr>
        <w:pStyle w:val="3"/>
        <w:spacing w:after="80"/>
      </w:pPr>
      <w:r>
        <w:rPr>
          <w:rFonts w:ascii="Arial" w:hAnsi="Arial" w:eastAsia="Arial"/>
          <w:color w:val="C65A16"/>
        </w:rPr>
        <w:t>7. Contraindications</w:t>
      </w:r>
    </w:p>
    <w:p w14:paraId="6648C4F9">
      <w:pPr>
        <w:pStyle w:val="16"/>
      </w:pPr>
      <w:r>
        <w:t>Do not use this product in patients with known allergic sensitivity to nickel-titanium alloy or any component of the device.</w:t>
      </w:r>
    </w:p>
    <w:p w14:paraId="10B97202">
      <w:pPr>
        <w:pStyle w:val="16"/>
      </w:pPr>
      <w:r>
        <w:t>Do not use mechanically in canals with severe, sudden apical curvatures, complex canal divisions, calcified anatomy, or anatomy where safe passive file progression cannot be achieved.</w:t>
      </w:r>
    </w:p>
    <w:p w14:paraId="35577046">
      <w:pPr>
        <w:pStyle w:val="3"/>
        <w:spacing w:after="80"/>
      </w:pPr>
      <w:r>
        <w:rPr>
          <w:rFonts w:ascii="Arial" w:hAnsi="Arial" w:eastAsia="Arial"/>
          <w:color w:val="C65A16"/>
        </w:rPr>
        <w:t>8. Warnings</w:t>
      </w:r>
    </w:p>
    <w:p w14:paraId="767AF416">
      <w:pPr>
        <w:pStyle w:val="16"/>
      </w:pPr>
      <w:r>
        <w:t>For dental professional use only.</w:t>
      </w:r>
    </w:p>
    <w:p w14:paraId="65F2D4D8">
      <w:pPr>
        <w:pStyle w:val="16"/>
      </w:pPr>
      <w:r>
        <w:t>The product contains nickel and should not be used for individuals with known allergic sensitivity to this metal.</w:t>
      </w:r>
    </w:p>
    <w:p w14:paraId="2FDC4F31">
      <w:pPr>
        <w:pStyle w:val="16"/>
      </w:pPr>
      <w:r>
        <w:t>Always use rubber dam isolation during endodontic treatment.</w:t>
      </w:r>
    </w:p>
    <w:p w14:paraId="31D6D3C8">
      <w:pPr>
        <w:pStyle w:val="16"/>
      </w:pPr>
      <w:r>
        <w:t>These files are supplied non-sterile and must be sterilized before first use.</w:t>
      </w:r>
    </w:p>
    <w:p w14:paraId="1987765A">
      <w:pPr>
        <w:pStyle w:val="16"/>
      </w:pPr>
      <w:r>
        <w:t>Do not use the file if the package is damaged.</w:t>
      </w:r>
    </w:p>
    <w:p w14:paraId="7CD4143D">
      <w:pPr>
        <w:pStyle w:val="16"/>
      </w:pPr>
      <w:r>
        <w:t>Single-use only. Do not reuse.</w:t>
      </w:r>
    </w:p>
    <w:p w14:paraId="6F19552E">
      <w:pPr>
        <w:pStyle w:val="16"/>
      </w:pPr>
      <w:r>
        <w:t>Reuse may increase the risk of cross-contamination, loss of cutting efficiency, or file separation.</w:t>
      </w:r>
    </w:p>
    <w:p w14:paraId="39E5AAA4">
      <w:pPr>
        <w:pStyle w:val="16"/>
      </w:pPr>
      <w:r>
        <w:t>Use only with a compatible torque-controlled endodontic motor operating in continuous clockwise rotation. Do not use in reciprocating motion.</w:t>
      </w:r>
    </w:p>
    <w:p w14:paraId="3AD022D4">
      <w:pPr>
        <w:pStyle w:val="16"/>
      </w:pPr>
      <w:r>
        <w:t>Do not use the file if it is deformed, unwound, corroded, fractured, or shows signs of wear.</w:t>
      </w:r>
    </w:p>
    <w:p w14:paraId="5DD50345">
      <w:pPr>
        <w:pStyle w:val="16"/>
      </w:pPr>
      <w:r>
        <w:t>Do not force the file apically. Excessive apical pressure may cause file separation, ledging, transportation, perforation, blockage, or other procedural complications.</w:t>
      </w:r>
    </w:p>
    <w:p w14:paraId="4FEB4941">
      <w:pPr>
        <w:pStyle w:val="16"/>
      </w:pPr>
      <w:r>
        <w:t>Do not apply one torque value to every size and taper. Use the file-specific torque stated in this IFU and confirm the setting against the endodontic motor manufacturer’s operating instructions.</w:t>
      </w:r>
    </w:p>
    <w:p w14:paraId="10661EA1">
      <w:pPr>
        <w:pStyle w:val="3"/>
        <w:spacing w:after="80"/>
      </w:pPr>
      <w:r>
        <w:rPr>
          <w:rFonts w:ascii="Arial" w:hAnsi="Arial" w:eastAsia="Arial"/>
          <w:color w:val="C65A16"/>
        </w:rPr>
        <w:t>9. Precautions</w:t>
      </w:r>
    </w:p>
    <w:p w14:paraId="38B1BC10">
      <w:pPr>
        <w:pStyle w:val="16"/>
      </w:pPr>
      <w:r>
        <w:t>Wear appropriate personal protective equipment, including gloves, mask, and protective eyewear.</w:t>
      </w:r>
    </w:p>
    <w:p w14:paraId="158886C9">
      <w:pPr>
        <w:pStyle w:val="16"/>
      </w:pPr>
      <w:r>
        <w:t>Review pre-operative radiographs to determine canal width, length, and curvature.</w:t>
      </w:r>
    </w:p>
    <w:p w14:paraId="31A77FBF">
      <w:pPr>
        <w:pStyle w:val="16"/>
      </w:pPr>
      <w:r>
        <w:t>Determine working length using radiographs and/or an apex locator.</w:t>
      </w:r>
    </w:p>
    <w:p w14:paraId="01DC9B1B">
      <w:pPr>
        <w:pStyle w:val="16"/>
      </w:pPr>
      <w:r>
        <w:t>Establish straight-line access before using the file.</w:t>
      </w:r>
    </w:p>
    <w:p w14:paraId="073710B0">
      <w:pPr>
        <w:pStyle w:val="16"/>
      </w:pPr>
      <w:r>
        <w:t>Do not introduce a rotary KD Blue file into an unscouted canal.</w:t>
      </w:r>
    </w:p>
    <w:p w14:paraId="6687D40E">
      <w:pPr>
        <w:pStyle w:val="16"/>
      </w:pPr>
      <w:r>
        <w:t>Scout the canal with stainless steel K-files and establish a smooth, reproducible glide path before rotary shaping.</w:t>
      </w:r>
    </w:p>
    <w:p w14:paraId="03DEFCB0">
      <w:pPr>
        <w:pStyle w:val="16"/>
      </w:pPr>
      <w:r>
        <w:t>Confirm patency with a size 010 K-file and establish a glide path with at least a size 015 K-file to working length.</w:t>
      </w:r>
    </w:p>
    <w:p w14:paraId="1C90ADCD">
      <w:pPr>
        <w:pStyle w:val="16"/>
      </w:pPr>
      <w:r>
        <w:t>Use minimal apical pressure and allow the file to advance passively.</w:t>
      </w:r>
    </w:p>
    <w:p w14:paraId="75685E59">
      <w:pPr>
        <w:pStyle w:val="16"/>
      </w:pPr>
      <w:r>
        <w:t>Clean the flutes frequently and inspect for distortion, unwinding, wear, corrosion, or dull cutting edges.</w:t>
      </w:r>
    </w:p>
    <w:p w14:paraId="3FF8641C">
      <w:pPr>
        <w:pStyle w:val="16"/>
      </w:pPr>
      <w:r>
        <w:t>Frequently irrigate, recapitulate, and re-irrigate during instrumentation, minimally after each file.</w:t>
      </w:r>
    </w:p>
    <w:p w14:paraId="37254FAD">
      <w:pPr>
        <w:pStyle w:val="16"/>
      </w:pPr>
      <w:r>
        <w:t>If resistance is encountered before working length, withdraw the file and use the next smaller instrument rather than forcing advancement.</w:t>
      </w:r>
    </w:p>
    <w:p w14:paraId="2D6E80F5">
      <w:pPr>
        <w:pStyle w:val="16"/>
      </w:pPr>
      <w:r>
        <w:t>Use .04 taper files when flexibility and conservative enlargement are priorities in curved mid-root and apical regions.</w:t>
      </w:r>
    </w:p>
    <w:p w14:paraId="0355FA12">
      <w:pPr>
        <w:pStyle w:val="16"/>
      </w:pPr>
      <w:r>
        <w:t>Use .06 taper files selectively in mild-to-moderate curvatures, straighter canals, or coronal shaping.</w:t>
      </w:r>
    </w:p>
    <w:p w14:paraId="14672775">
      <w:pPr>
        <w:pStyle w:val="16"/>
      </w:pPr>
      <w:r>
        <w:t>Do not use .06 taper automatically in severe curvature.</w:t>
      </w:r>
    </w:p>
    <w:p w14:paraId="54617FB4">
      <w:pPr>
        <w:pStyle w:val="16"/>
      </w:pPr>
      <w:r>
        <w:t>Due to MaxTech 6.0 heat treatment, the file may appear slightly curved and may be gently pre-bent to improve access. Do not straighten normal pre-curvature before use.</w:t>
      </w:r>
    </w:p>
    <w:p w14:paraId="3B6D122E">
      <w:pPr>
        <w:pStyle w:val="16"/>
      </w:pPr>
      <w:r>
        <w:t>Replace the file whenever stress, deformation, unwinding, or cutting deterioration is suspected.</w:t>
      </w:r>
    </w:p>
    <w:p w14:paraId="625F36DD">
      <w:pPr>
        <w:pStyle w:val="3"/>
        <w:spacing w:after="80"/>
      </w:pPr>
      <w:r>
        <w:rPr>
          <w:rFonts w:ascii="Arial" w:hAnsi="Arial" w:eastAsia="Arial"/>
          <w:color w:val="C65A16"/>
        </w:rPr>
        <w:t>10. Recommended Motor Settings</w:t>
      </w:r>
    </w:p>
    <w:p w14:paraId="79C8B96A">
      <w:pPr>
        <w:spacing w:after="80"/>
      </w:pPr>
      <w:r>
        <w:t>Use a compatible torque-controlled endodontic motor and slow-speed handpiece in continuous clockwise rotation. All KD Blue files use 500 RPM with the file-specific torque shown below.</w:t>
      </w:r>
    </w:p>
    <w:p w14:paraId="247DFE63">
      <w:pPr>
        <w:pStyle w:val="4"/>
        <w:spacing w:after="80"/>
      </w:pPr>
      <w:r>
        <w:rPr>
          <w:rFonts w:ascii="Arial" w:hAnsi="Arial" w:eastAsia="Arial"/>
          <w:color w:val="C65A16"/>
        </w:rPr>
        <w:t>10.1 .04 Taper Files</w:t>
      </w:r>
    </w:p>
    <w:tbl>
      <w:tblPr>
        <w:tblStyle w:val="33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224"/>
        <w:gridCol w:w="936"/>
        <w:gridCol w:w="1224"/>
        <w:gridCol w:w="1224"/>
        <w:gridCol w:w="1944"/>
        <w:gridCol w:w="1152"/>
      </w:tblGrid>
      <w:tr w14:paraId="2E079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1094DE94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File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3A2B9999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Tip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35B06783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Taper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4B7FD9C4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Speed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02D2117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Torque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4FF5C7B8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Cross Section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22FBB97C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MFD</w:t>
            </w:r>
          </w:p>
        </w:tc>
      </w:tr>
      <w:tr w14:paraId="3344E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4B15DF2">
            <w:pPr>
              <w:spacing w:after="0" w:line="252" w:lineRule="auto"/>
            </w:pPr>
            <w:r>
              <w:rPr>
                <w:color w:val="20272C"/>
                <w:sz w:val="14"/>
              </w:rPr>
              <w:t>15/.04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536E0B51">
            <w:pPr>
              <w:spacing w:after="0" w:line="252" w:lineRule="auto"/>
            </w:pPr>
            <w:r>
              <w:rPr>
                <w:color w:val="20272C"/>
                <w:sz w:val="14"/>
              </w:rPr>
              <w:t>0.15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3FB50CC0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FB6F1ED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486BD236">
            <w:pPr>
              <w:spacing w:after="0" w:line="252" w:lineRule="auto"/>
            </w:pPr>
            <w:r>
              <w:rPr>
                <w:color w:val="20272C"/>
                <w:sz w:val="14"/>
              </w:rPr>
              <w:t>0.75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6B6C3589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314EB365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60DA6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76A2ECBC">
            <w:pPr>
              <w:spacing w:after="0" w:line="252" w:lineRule="auto"/>
            </w:pPr>
            <w:r>
              <w:rPr>
                <w:color w:val="20272C"/>
                <w:sz w:val="14"/>
              </w:rPr>
              <w:t>20/.04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6360DFF5">
            <w:pPr>
              <w:spacing w:after="0" w:line="252" w:lineRule="auto"/>
            </w:pPr>
            <w:r>
              <w:rPr>
                <w:color w:val="20272C"/>
                <w:sz w:val="14"/>
              </w:rPr>
              <w:t>0.20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167C96FE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44B951B5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148078E1">
            <w:pPr>
              <w:spacing w:after="0" w:line="252" w:lineRule="auto"/>
            </w:pPr>
            <w:r>
              <w:rPr>
                <w:color w:val="20272C"/>
                <w:sz w:val="14"/>
              </w:rPr>
              <w:t>0.75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1FAA0756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58E83F8A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66BFA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36BC7ED4">
            <w:pPr>
              <w:spacing w:after="0" w:line="252" w:lineRule="auto"/>
            </w:pPr>
            <w:r>
              <w:rPr>
                <w:color w:val="20272C"/>
                <w:sz w:val="14"/>
              </w:rPr>
              <w:t>25/.04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85A54E4">
            <w:pPr>
              <w:spacing w:after="0" w:line="252" w:lineRule="auto"/>
            </w:pPr>
            <w:r>
              <w:rPr>
                <w:color w:val="20272C"/>
                <w:sz w:val="14"/>
              </w:rPr>
              <w:t>0.25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3C77B2C7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57125130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4C1708E">
            <w:pPr>
              <w:spacing w:after="0" w:line="252" w:lineRule="auto"/>
            </w:pPr>
            <w:r>
              <w:rPr>
                <w:color w:val="20272C"/>
                <w:sz w:val="14"/>
              </w:rPr>
              <w:t>1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3C07FAC9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92CCCF6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55EE5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619BD48C">
            <w:pPr>
              <w:spacing w:after="0" w:line="252" w:lineRule="auto"/>
            </w:pPr>
            <w:r>
              <w:rPr>
                <w:color w:val="20272C"/>
                <w:sz w:val="14"/>
              </w:rPr>
              <w:t>30/.04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3235D793">
            <w:pPr>
              <w:spacing w:after="0" w:line="252" w:lineRule="auto"/>
            </w:pPr>
            <w:r>
              <w:rPr>
                <w:color w:val="20272C"/>
                <w:sz w:val="14"/>
              </w:rPr>
              <w:t>0.30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569BFEA3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3984A40F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30969C0E">
            <w:pPr>
              <w:spacing w:after="0" w:line="252" w:lineRule="auto"/>
            </w:pPr>
            <w:r>
              <w:rPr>
                <w:color w:val="20272C"/>
                <w:sz w:val="14"/>
              </w:rPr>
              <w:t>1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1CED9F4D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63051B1F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53AD2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34CF0F3E">
            <w:pPr>
              <w:spacing w:after="0" w:line="252" w:lineRule="auto"/>
            </w:pPr>
            <w:r>
              <w:rPr>
                <w:color w:val="20272C"/>
                <w:sz w:val="14"/>
              </w:rPr>
              <w:t>35/.04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06889E09">
            <w:pPr>
              <w:spacing w:after="0" w:line="252" w:lineRule="auto"/>
            </w:pPr>
            <w:r>
              <w:rPr>
                <w:color w:val="20272C"/>
                <w:sz w:val="14"/>
              </w:rPr>
              <w:t>0.35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422370F2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64B0DE29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047BA76">
            <w:pPr>
              <w:spacing w:after="0" w:line="252" w:lineRule="auto"/>
            </w:pPr>
            <w:r>
              <w:rPr>
                <w:color w:val="20272C"/>
                <w:sz w:val="14"/>
              </w:rPr>
              <w:t>1.5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0AC92C78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62BBA4C6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367A7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35CD6931">
            <w:pPr>
              <w:spacing w:after="0" w:line="252" w:lineRule="auto"/>
            </w:pPr>
            <w:r>
              <w:rPr>
                <w:color w:val="20272C"/>
                <w:sz w:val="14"/>
              </w:rPr>
              <w:t>40/.04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44951EC">
            <w:pPr>
              <w:spacing w:after="0" w:line="252" w:lineRule="auto"/>
            </w:pPr>
            <w:r>
              <w:rPr>
                <w:color w:val="20272C"/>
                <w:sz w:val="14"/>
              </w:rPr>
              <w:t>0.40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BD88B66">
            <w:pPr>
              <w:spacing w:after="0" w:line="252" w:lineRule="auto"/>
            </w:pPr>
            <w:r>
              <w:rPr>
                <w:color w:val="20272C"/>
                <w:sz w:val="14"/>
              </w:rPr>
              <w:t>4%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D689887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0B05008">
            <w:pPr>
              <w:spacing w:after="0" w:line="252" w:lineRule="auto"/>
            </w:pPr>
            <w:r>
              <w:rPr>
                <w:color w:val="20272C"/>
                <w:sz w:val="14"/>
              </w:rPr>
              <w:t>1.5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6FB0658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072F23BB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</w:tbl>
    <w:p w14:paraId="12D556B5">
      <w:pPr>
        <w:pStyle w:val="4"/>
        <w:spacing w:after="80"/>
      </w:pPr>
      <w:r>
        <w:rPr>
          <w:rFonts w:ascii="Arial" w:hAnsi="Arial" w:eastAsia="Arial"/>
          <w:color w:val="C65A16"/>
        </w:rPr>
        <w:t>10.2 .06 Taper Files</w:t>
      </w:r>
    </w:p>
    <w:tbl>
      <w:tblPr>
        <w:tblStyle w:val="33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224"/>
        <w:gridCol w:w="936"/>
        <w:gridCol w:w="1224"/>
        <w:gridCol w:w="1224"/>
        <w:gridCol w:w="1944"/>
        <w:gridCol w:w="1152"/>
      </w:tblGrid>
      <w:tr w14:paraId="33245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1D6C144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File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5653B0CD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Tip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63B298B7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Taper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55998211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Speed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7D1F9AF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Torque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4089F3CA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Cross Section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075A6D6B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MFD</w:t>
            </w:r>
          </w:p>
        </w:tc>
      </w:tr>
      <w:tr w14:paraId="2493C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5359A22">
            <w:pPr>
              <w:spacing w:after="0" w:line="252" w:lineRule="auto"/>
            </w:pPr>
            <w:r>
              <w:rPr>
                <w:color w:val="20272C"/>
                <w:sz w:val="14"/>
              </w:rPr>
              <w:t>15/.06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4466D62E">
            <w:pPr>
              <w:spacing w:after="0" w:line="252" w:lineRule="auto"/>
            </w:pPr>
            <w:r>
              <w:rPr>
                <w:color w:val="20272C"/>
                <w:sz w:val="14"/>
              </w:rPr>
              <w:t>0.15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383375A8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29358ACB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061A62A5">
            <w:pPr>
              <w:spacing w:after="0" w:line="252" w:lineRule="auto"/>
            </w:pPr>
            <w:r>
              <w:rPr>
                <w:color w:val="20272C"/>
                <w:sz w:val="14"/>
              </w:rPr>
              <w:t>2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3D46FFB3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67CC52DD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77F86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53D8B3CE">
            <w:pPr>
              <w:spacing w:after="0" w:line="252" w:lineRule="auto"/>
            </w:pPr>
            <w:r>
              <w:rPr>
                <w:color w:val="20272C"/>
                <w:sz w:val="14"/>
              </w:rPr>
              <w:t>20/.06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3B76C30C">
            <w:pPr>
              <w:spacing w:after="0" w:line="252" w:lineRule="auto"/>
            </w:pPr>
            <w:r>
              <w:rPr>
                <w:color w:val="20272C"/>
                <w:sz w:val="14"/>
              </w:rPr>
              <w:t>0.20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56257BB3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770761C8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713F3B1A">
            <w:pPr>
              <w:spacing w:after="0" w:line="252" w:lineRule="auto"/>
            </w:pPr>
            <w:r>
              <w:rPr>
                <w:color w:val="20272C"/>
                <w:sz w:val="14"/>
              </w:rPr>
              <w:t>2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1CB419E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0DA116E7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6E328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0EA8693C">
            <w:pPr>
              <w:spacing w:after="0" w:line="252" w:lineRule="auto"/>
            </w:pPr>
            <w:r>
              <w:rPr>
                <w:color w:val="20272C"/>
                <w:sz w:val="14"/>
              </w:rPr>
              <w:t>25/.06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6DD9D4C6">
            <w:pPr>
              <w:spacing w:after="0" w:line="252" w:lineRule="auto"/>
            </w:pPr>
            <w:r>
              <w:rPr>
                <w:color w:val="20272C"/>
                <w:sz w:val="14"/>
              </w:rPr>
              <w:t>0.25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58C48FB0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07C9322D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4C9696A7">
            <w:pPr>
              <w:spacing w:after="0" w:line="252" w:lineRule="auto"/>
            </w:pPr>
            <w:r>
              <w:rPr>
                <w:color w:val="20272C"/>
                <w:sz w:val="14"/>
              </w:rPr>
              <w:t>3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481E683F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51922216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1FCC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2815E80">
            <w:pPr>
              <w:spacing w:after="0" w:line="252" w:lineRule="auto"/>
            </w:pPr>
            <w:r>
              <w:rPr>
                <w:color w:val="20272C"/>
                <w:sz w:val="14"/>
              </w:rPr>
              <w:t>30/.06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581322F3">
            <w:pPr>
              <w:spacing w:after="0" w:line="252" w:lineRule="auto"/>
            </w:pPr>
            <w:r>
              <w:rPr>
                <w:color w:val="20272C"/>
                <w:sz w:val="14"/>
              </w:rPr>
              <w:t>0.30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7130A4EF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72344ACD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5B267C8D">
            <w:pPr>
              <w:spacing w:after="0" w:line="252" w:lineRule="auto"/>
            </w:pPr>
            <w:r>
              <w:rPr>
                <w:color w:val="20272C"/>
                <w:sz w:val="14"/>
              </w:rPr>
              <w:t>3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6E852495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04D94F89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6D6E5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1EE4ECE">
            <w:pPr>
              <w:spacing w:after="0" w:line="252" w:lineRule="auto"/>
            </w:pPr>
            <w:r>
              <w:rPr>
                <w:color w:val="20272C"/>
                <w:sz w:val="14"/>
              </w:rPr>
              <w:t>35/.06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E51FA24">
            <w:pPr>
              <w:spacing w:after="0" w:line="252" w:lineRule="auto"/>
            </w:pPr>
            <w:r>
              <w:rPr>
                <w:color w:val="20272C"/>
                <w:sz w:val="14"/>
              </w:rPr>
              <w:t>0.35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29F637F5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65CD75AA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627D56D">
            <w:pPr>
              <w:spacing w:after="0" w:line="252" w:lineRule="auto"/>
            </w:pPr>
            <w:r>
              <w:rPr>
                <w:color w:val="20272C"/>
                <w:sz w:val="14"/>
              </w:rPr>
              <w:t>4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13361D6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B3CFACC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  <w:tr w14:paraId="36C8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3DEBAFBE">
            <w:pPr>
              <w:spacing w:after="0" w:line="252" w:lineRule="auto"/>
            </w:pPr>
            <w:r>
              <w:rPr>
                <w:color w:val="20272C"/>
                <w:sz w:val="14"/>
              </w:rPr>
              <w:t>40/.06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15C1E292">
            <w:pPr>
              <w:spacing w:after="0" w:line="252" w:lineRule="auto"/>
            </w:pPr>
            <w:r>
              <w:rPr>
                <w:color w:val="20272C"/>
                <w:sz w:val="14"/>
              </w:rPr>
              <w:t>0.40 mm</w:t>
            </w:r>
          </w:p>
        </w:tc>
        <w:tc>
          <w:tcPr>
            <w:tcW w:w="93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4A1DA6A6">
            <w:pPr>
              <w:spacing w:after="0" w:line="252" w:lineRule="auto"/>
            </w:pPr>
            <w:r>
              <w:rPr>
                <w:color w:val="20272C"/>
                <w:sz w:val="14"/>
              </w:rPr>
              <w:t>6%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6E8EFD34">
            <w:pPr>
              <w:spacing w:after="0" w:line="252" w:lineRule="auto"/>
            </w:pPr>
            <w:r>
              <w:rPr>
                <w:color w:val="20272C"/>
                <w:sz w:val="14"/>
              </w:rPr>
              <w:t>500 RPM</w:t>
            </w:r>
          </w:p>
        </w:tc>
        <w:tc>
          <w:tcPr>
            <w:tcW w:w="122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7E9497FE">
            <w:pPr>
              <w:spacing w:after="0" w:line="252" w:lineRule="auto"/>
            </w:pPr>
            <w:r>
              <w:rPr>
                <w:color w:val="20272C"/>
                <w:sz w:val="14"/>
              </w:rPr>
              <w:t>4 N·cm</w:t>
            </w:r>
          </w:p>
        </w:tc>
        <w:tc>
          <w:tcPr>
            <w:tcW w:w="1944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597DEE4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  <w:tc>
          <w:tcPr>
            <w:tcW w:w="1152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4E4E8ECB">
            <w:pPr>
              <w:spacing w:after="0" w:line="252" w:lineRule="auto"/>
            </w:pPr>
            <w:r>
              <w:rPr>
                <w:color w:val="20272C"/>
                <w:sz w:val="14"/>
              </w:rPr>
              <w:t>1.0 mm</w:t>
            </w:r>
          </w:p>
        </w:tc>
      </w:tr>
    </w:tbl>
    <w:p w14:paraId="4B531C73">
      <w:pPr>
        <w:spacing w:after="80"/>
      </w:pPr>
    </w:p>
    <w:p w14:paraId="53DBECCF">
      <w:pPr>
        <w:spacing w:after="80"/>
      </w:pPr>
      <w:r>
        <w:t>Note: Motor terminology may vary by manufacturer. Confirm continuous clockwise rotation, speed, torque, and handpiece requirements before clinical use.</w:t>
      </w:r>
    </w:p>
    <w:p w14:paraId="37189D83">
      <w:pPr>
        <w:pStyle w:val="3"/>
        <w:spacing w:after="80"/>
      </w:pPr>
      <w:r>
        <w:rPr>
          <w:rFonts w:ascii="Arial" w:hAnsi="Arial" w:eastAsia="Arial"/>
          <w:color w:val="C65A16"/>
        </w:rPr>
        <w:t>11. Adverse Reactions</w:t>
      </w:r>
    </w:p>
    <w:p w14:paraId="465F7C09">
      <w:pPr>
        <w:spacing w:after="80"/>
      </w:pPr>
      <w:r>
        <w:t>None known when the product is used as directed.</w:t>
      </w:r>
    </w:p>
    <w:p w14:paraId="5826501E">
      <w:pPr>
        <w:spacing w:after="80"/>
      </w:pPr>
      <w:r>
        <w:t>Possible procedural complications associated with improper use of endodontic instruments may include file separation, canal transportation, ledging, perforation, blockage, soft tissue injury, pain, infection, or extrusion of debris.</w:t>
      </w:r>
    </w:p>
    <w:p w14:paraId="50DC697C">
      <w:pPr>
        <w:pStyle w:val="3"/>
        <w:spacing w:after="80"/>
      </w:pPr>
      <w:r>
        <w:rPr>
          <w:rFonts w:ascii="Arial" w:hAnsi="Arial" w:eastAsia="Arial"/>
          <w:color w:val="C65A16"/>
        </w:rPr>
        <w:t>12. Step-by-Step Clinical Instructions</w:t>
      </w:r>
    </w:p>
    <w:p w14:paraId="32C7AB0A">
      <w:pPr>
        <w:pStyle w:val="4"/>
        <w:spacing w:after="80"/>
      </w:pPr>
      <w:r>
        <w:rPr>
          <w:rFonts w:ascii="Arial" w:hAnsi="Arial" w:eastAsia="Arial"/>
          <w:color w:val="C65A16"/>
        </w:rPr>
        <w:t>12.1 Radiographic Evaluation</w:t>
      </w:r>
    </w:p>
    <w:p w14:paraId="30F9752D">
      <w:pPr>
        <w:spacing w:after="80"/>
      </w:pPr>
      <w:r>
        <w:t>Review pre-operative radiographs from different horizontal angulations to determine the width, length, visibility, and curvature of each root canal.</w:t>
      </w:r>
    </w:p>
    <w:p w14:paraId="6D111151">
      <w:pPr>
        <w:pStyle w:val="4"/>
        <w:spacing w:after="80"/>
      </w:pPr>
      <w:r>
        <w:rPr>
          <w:rFonts w:ascii="Arial" w:hAnsi="Arial" w:eastAsia="Arial"/>
          <w:color w:val="C65A16"/>
        </w:rPr>
        <w:t>12.2 Access Preparation</w:t>
      </w:r>
    </w:p>
    <w:p w14:paraId="42D245B0">
      <w:pPr>
        <w:spacing w:after="80"/>
      </w:pPr>
      <w:r>
        <w:t>1. Create straight-line coronal and radicular access to the canal orifice.</w:t>
      </w:r>
    </w:p>
    <w:p w14:paraId="17C8551F">
      <w:pPr>
        <w:spacing w:after="80"/>
      </w:pPr>
      <w:r>
        <w:t>2. Remove restrictive coronal interference while preserving sound dentin.</w:t>
      </w:r>
    </w:p>
    <w:p w14:paraId="7B76341D">
      <w:pPr>
        <w:spacing w:after="80"/>
      </w:pPr>
      <w:r>
        <w:t>3. Irrigate the pulp chamber and canal system.</w:t>
      </w:r>
    </w:p>
    <w:p w14:paraId="00BA4309">
      <w:pPr>
        <w:pStyle w:val="4"/>
        <w:spacing w:after="80"/>
      </w:pPr>
      <w:r>
        <w:rPr>
          <w:rFonts w:ascii="Arial" w:hAnsi="Arial" w:eastAsia="Arial"/>
          <w:color w:val="C65A16"/>
        </w:rPr>
        <w:t>12.3 Glide Path Preparation</w:t>
      </w:r>
    </w:p>
    <w:p w14:paraId="04AA658C">
      <w:pPr>
        <w:spacing w:after="80"/>
      </w:pPr>
      <w:r>
        <w:t>1. Use stainless steel K-files with an appropriate root-canal conditioner to negotiate the canal.</w:t>
      </w:r>
    </w:p>
    <w:p w14:paraId="180664F5">
      <w:pPr>
        <w:spacing w:after="80"/>
      </w:pPr>
      <w:r>
        <w:t>2. Confirm patency with a size 010 K-file.</w:t>
      </w:r>
    </w:p>
    <w:p w14:paraId="485BD9B6">
      <w:pPr>
        <w:spacing w:after="80"/>
      </w:pPr>
      <w:r>
        <w:t>3. Establish a smooth, reproducible glide path with at least a size 015 K-file to working length.</w:t>
      </w:r>
    </w:p>
    <w:p w14:paraId="06BBF95D">
      <w:pPr>
        <w:spacing w:after="80"/>
      </w:pPr>
      <w:r>
        <w:t>4. Pre-curve hand files for curved or difficult anatomy when required.</w:t>
      </w:r>
    </w:p>
    <w:p w14:paraId="745A0D18">
      <w:pPr>
        <w:spacing w:after="80"/>
      </w:pPr>
      <w:r>
        <w:t>5. Irrigate and recapitulate frequently during glide-path preparation.</w:t>
      </w:r>
    </w:p>
    <w:p w14:paraId="3DB54748">
      <w:pPr>
        <w:spacing w:after="80"/>
      </w:pPr>
      <w:r>
        <w:t>6. Do not use KD Blue rotary files without a confirmed glide path.</w:t>
      </w:r>
    </w:p>
    <w:p w14:paraId="6E7C6ED8">
      <w:pPr>
        <w:pStyle w:val="4"/>
        <w:spacing w:after="80"/>
      </w:pPr>
      <w:r>
        <w:rPr>
          <w:rFonts w:ascii="Arial" w:hAnsi="Arial" w:eastAsia="Arial"/>
          <w:color w:val="C65A16"/>
        </w:rPr>
        <w:t>12.4 Crown-Down Shaping - Small Canals</w:t>
      </w:r>
    </w:p>
    <w:p w14:paraId="36B53E91">
      <w:pPr>
        <w:spacing w:after="80"/>
      </w:pPr>
      <w:r>
        <w:t>1. For a small canal, begin with 30/.04 and advance passively until resistance is encountered or working length is reached.</w:t>
      </w:r>
    </w:p>
    <w:p w14:paraId="622E224E">
      <w:pPr>
        <w:spacing w:after="80"/>
      </w:pPr>
      <w:r>
        <w:t>2. When resistance occurs before working length, step down sequentially to a smaller .04 instrument until the canal can be shaped safely to length.</w:t>
      </w:r>
    </w:p>
    <w:p w14:paraId="1EE6FE2D">
      <w:pPr>
        <w:spacing w:after="80"/>
      </w:pPr>
      <w:r>
        <w:t>3. Recapitulate with a size 010 or 015 K-file between rotary instruments.</w:t>
      </w:r>
    </w:p>
    <w:p w14:paraId="1EB1D725">
      <w:pPr>
        <w:spacing w:after="80"/>
      </w:pPr>
      <w:r>
        <w:t>4. Irrigate between file changes and clean the flutes before reintroducing the instrument.</w:t>
      </w:r>
    </w:p>
    <w:p w14:paraId="27977545">
      <w:pPr>
        <w:spacing w:after="80"/>
      </w:pPr>
      <w:r>
        <w:t>5. After the smaller file establishes a pathway, return to the clinically appropriate larger size when needed.</w:t>
      </w:r>
    </w:p>
    <w:p w14:paraId="787A8ED6">
      <w:pPr>
        <w:pStyle w:val="4"/>
        <w:spacing w:after="80"/>
      </w:pPr>
      <w:r>
        <w:rPr>
          <w:rFonts w:ascii="Arial" w:hAnsi="Arial" w:eastAsia="Arial"/>
          <w:color w:val="C65A16"/>
        </w:rPr>
        <w:t>12.5 Crown-Down Shaping - Larger Canals</w:t>
      </w:r>
    </w:p>
    <w:p w14:paraId="10C69F7B">
      <w:pPr>
        <w:spacing w:after="80"/>
      </w:pPr>
      <w:r>
        <w:t>1. For a larger canal, begin with 40/.04 and advance passively until resistance is encountered or working length is reached.</w:t>
      </w:r>
    </w:p>
    <w:p w14:paraId="2EE0EF5A">
      <w:pPr>
        <w:spacing w:after="80"/>
      </w:pPr>
      <w:r>
        <w:t>2. When resistance occurs before working length, continue with smaller instruments until a safe pathway is established.</w:t>
      </w:r>
    </w:p>
    <w:p w14:paraId="064B15FB">
      <w:pPr>
        <w:spacing w:after="80"/>
      </w:pPr>
      <w:r>
        <w:t>3. Use the larger file primarily for coronal enlargement and initial Crown-Down shaping when clinically appropriate.</w:t>
      </w:r>
    </w:p>
    <w:p w14:paraId="09970033">
      <w:pPr>
        <w:spacing w:after="80"/>
      </w:pPr>
      <w:r>
        <w:t>4. Recapitulate with a small hand file between each rotary pass, clean the flutes, and replenish irrigant before reintroducing the file.</w:t>
      </w:r>
    </w:p>
    <w:p w14:paraId="00EF58FB">
      <w:pPr>
        <w:spacing w:after="80"/>
      </w:pPr>
      <w:r>
        <w:t>5. Do not force 40/.04 toward working length when resistance is present.</w:t>
      </w:r>
    </w:p>
    <w:p w14:paraId="79354E5A">
      <w:pPr>
        <w:pStyle w:val="4"/>
        <w:spacing w:after="80"/>
      </w:pPr>
      <w:r>
        <w:rPr>
          <w:rFonts w:ascii="Arial" w:hAnsi="Arial" w:eastAsia="Arial"/>
          <w:color w:val="C65A16"/>
        </w:rPr>
        <w:t>12.6 Taper Selection and Completion of Shaping</w:t>
      </w:r>
    </w:p>
    <w:p w14:paraId="0D0BC33E">
      <w:pPr>
        <w:spacing w:after="80"/>
      </w:pPr>
      <w:r>
        <w:t>1. Select the final file size and taper according to canal anatomy, curvature, and apical objectives.</w:t>
      </w:r>
    </w:p>
    <w:p w14:paraId="174DD9CC">
      <w:pPr>
        <w:spacing w:after="80"/>
      </w:pPr>
      <w:r>
        <w:t>2. Use .04 taper files when flexibility and conservative enlargement are priorities.</w:t>
      </w:r>
    </w:p>
    <w:p w14:paraId="20A92A66">
      <w:pPr>
        <w:spacing w:after="80"/>
      </w:pPr>
      <w:r>
        <w:t>3. Use .06 taper files selectively in mild-to-moderate curvatures, straighter canals, or coronal shaping.</w:t>
      </w:r>
    </w:p>
    <w:p w14:paraId="14CC42E1">
      <w:pPr>
        <w:spacing w:after="80"/>
      </w:pPr>
      <w:r>
        <w:t>4. Finish at the smallest size that provides adequate cleaning, taper, and apical control.</w:t>
      </w:r>
    </w:p>
    <w:p w14:paraId="7B2E7193">
      <w:pPr>
        <w:spacing w:after="80"/>
      </w:pPr>
      <w:r>
        <w:t>5. Recapitulate and irrigate between each rotary instrument.</w:t>
      </w:r>
    </w:p>
    <w:p w14:paraId="3FC80B50">
      <w:pPr>
        <w:spacing w:after="80"/>
      </w:pPr>
      <w:r>
        <w:t>6. Stop and reassess when the file no longer advances passively.</w:t>
      </w:r>
    </w:p>
    <w:p w14:paraId="7866E017">
      <w:pPr>
        <w:pStyle w:val="4"/>
        <w:spacing w:after="80"/>
      </w:pPr>
      <w:r>
        <w:rPr>
          <w:rFonts w:ascii="Arial" w:hAnsi="Arial" w:eastAsia="Arial"/>
          <w:color w:val="C65A16"/>
        </w:rPr>
        <w:t>12.7 Verification, Drying, and Obturation</w:t>
      </w:r>
    </w:p>
    <w:p w14:paraId="1DAFBF01">
      <w:pPr>
        <w:spacing w:after="80"/>
      </w:pPr>
      <w:r>
        <w:t>1. Verify the final preparation and working length.</w:t>
      </w:r>
    </w:p>
    <w:p w14:paraId="7A3F4B86">
      <w:pPr>
        <w:spacing w:after="80"/>
      </w:pPr>
      <w:r>
        <w:t>2. Complete the final irrigation protocol and dry the canal.</w:t>
      </w:r>
    </w:p>
    <w:p w14:paraId="69413C6D">
      <w:pPr>
        <w:spacing w:after="80"/>
      </w:pPr>
      <w:r>
        <w:t>3. Select compatible paper points and gutta-percha points according to the final KD Blue tip size and taper.</w:t>
      </w:r>
    </w:p>
    <w:p w14:paraId="06B81F68">
      <w:pPr>
        <w:spacing w:after="80"/>
      </w:pPr>
      <w:r>
        <w:t>4. Confirm master-cone fit, tug-back, and radiographic fit before sealer placement.</w:t>
      </w:r>
    </w:p>
    <w:p w14:paraId="60998B48">
      <w:pPr>
        <w:spacing w:after="80"/>
      </w:pPr>
      <w:r>
        <w:t>5. Follow the instructions for use for all paper points, gutta-percha points, sealers, and obturation devices.</w:t>
      </w:r>
    </w:p>
    <w:p w14:paraId="7D813354">
      <w:pPr>
        <w:pStyle w:val="3"/>
        <w:spacing w:after="80"/>
      </w:pPr>
      <w:r>
        <w:rPr>
          <w:rFonts w:ascii="Arial" w:hAnsi="Arial" w:eastAsia="Arial"/>
          <w:color w:val="C65A16"/>
        </w:rPr>
        <w:t>13. Cleaning, Disinfection, and Sterilization</w:t>
      </w:r>
    </w:p>
    <w:p w14:paraId="609B061D">
      <w:pPr>
        <w:spacing w:after="80"/>
      </w:pPr>
      <w:r>
        <w:t>NIC</w:t>
      </w:r>
      <w:r>
        <w:rPr>
          <w:vertAlign w:val="superscript"/>
        </w:rPr>
        <w:t>®</w:t>
      </w:r>
      <w:r>
        <w:t xml:space="preserve"> KD Blue files in this version are supplied non-sterile and must be sterilized before first clinical use.</w:t>
      </w:r>
    </w:p>
    <w:p w14:paraId="36467641">
      <w:pPr>
        <w:spacing w:after="80"/>
      </w:pPr>
      <w:r>
        <w:t>Recommended pre-use sterilization cycle:</w:t>
      </w:r>
    </w:p>
    <w:tbl>
      <w:tblPr>
        <w:tblStyle w:val="33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2880"/>
        <w:gridCol w:w="2880"/>
      </w:tblGrid>
      <w:tr w14:paraId="0C054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316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48336EC9">
            <w:pPr>
              <w:spacing w:after="0" w:line="252" w:lineRule="auto"/>
            </w:pPr>
            <w:r>
              <w:rPr>
                <w:b/>
                <w:color w:val="FFFFFF"/>
              </w:rPr>
              <w:t>Method</w:t>
            </w:r>
          </w:p>
        </w:tc>
        <w:tc>
          <w:tcPr>
            <w:tcW w:w="288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782DE052">
            <w:pPr>
              <w:spacing w:after="0" w:line="252" w:lineRule="auto"/>
            </w:pPr>
            <w:r>
              <w:rPr>
                <w:b/>
                <w:color w:val="FFFFFF"/>
              </w:rPr>
              <w:t>Temperature</w:t>
            </w:r>
          </w:p>
        </w:tc>
        <w:tc>
          <w:tcPr>
            <w:tcW w:w="288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130398B0">
            <w:pPr>
              <w:spacing w:after="0" w:line="252" w:lineRule="auto"/>
            </w:pPr>
            <w:r>
              <w:rPr>
                <w:b/>
                <w:color w:val="FFFFFF"/>
              </w:rPr>
              <w:t>Holding Time</w:t>
            </w:r>
          </w:p>
        </w:tc>
      </w:tr>
      <w:tr w14:paraId="5CF47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316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412DFE90">
            <w:pPr>
              <w:spacing w:after="0" w:line="252" w:lineRule="auto"/>
            </w:pPr>
            <w:r>
              <w:rPr>
                <w:color w:val="20272C"/>
              </w:rPr>
              <w:t>Steam autoclave</w:t>
            </w:r>
          </w:p>
        </w:tc>
        <w:tc>
          <w:tcPr>
            <w:tcW w:w="288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C8B9EB9">
            <w:pPr>
              <w:spacing w:after="0" w:line="252" w:lineRule="auto"/>
            </w:pPr>
            <w:r>
              <w:rPr>
                <w:color w:val="20272C"/>
              </w:rPr>
              <w:t>134°C</w:t>
            </w:r>
          </w:p>
        </w:tc>
        <w:tc>
          <w:tcPr>
            <w:tcW w:w="2880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3354F2D4">
            <w:pPr>
              <w:spacing w:after="0" w:line="252" w:lineRule="auto"/>
            </w:pPr>
            <w:r>
              <w:rPr>
                <w:color w:val="20272C"/>
              </w:rPr>
              <w:t>18 minutes</w:t>
            </w:r>
          </w:p>
        </w:tc>
      </w:tr>
    </w:tbl>
    <w:p w14:paraId="2A899E5F">
      <w:pPr>
        <w:pStyle w:val="16"/>
      </w:pPr>
      <w:r>
        <w:t>Use only a validated steam sterilization process.</w:t>
      </w:r>
    </w:p>
    <w:p w14:paraId="7C8D7800">
      <w:pPr>
        <w:pStyle w:val="16"/>
      </w:pPr>
      <w:r>
        <w:t>Allow instruments to dry completely before clinical use.</w:t>
      </w:r>
    </w:p>
    <w:p w14:paraId="5A41A1DE">
      <w:pPr>
        <w:pStyle w:val="16"/>
      </w:pPr>
      <w:r>
        <w:t>After clinical use, discard the file in an appropriate biohazard sharps container.</w:t>
      </w:r>
    </w:p>
    <w:p w14:paraId="22EBA3E2">
      <w:pPr>
        <w:pStyle w:val="16"/>
      </w:pPr>
      <w:r>
        <w:t>Do not clean, disinfect, sterilize, or reuse the file after clinical use.</w:t>
      </w:r>
    </w:p>
    <w:p w14:paraId="44FACD99">
      <w:pPr>
        <w:pStyle w:val="3"/>
        <w:spacing w:after="80"/>
      </w:pPr>
      <w:r>
        <w:rPr>
          <w:rFonts w:ascii="Arial" w:hAnsi="Arial" w:eastAsia="Arial"/>
          <w:color w:val="C65A16"/>
        </w:rPr>
        <w:t>14. Storage Conditions</w:t>
      </w:r>
    </w:p>
    <w:p w14:paraId="64AE3EC5">
      <w:pPr>
        <w:pStyle w:val="16"/>
      </w:pPr>
      <w:r>
        <w:t>Store in the original packaging.</w:t>
      </w:r>
    </w:p>
    <w:p w14:paraId="0BAB03C1">
      <w:pPr>
        <w:pStyle w:val="16"/>
      </w:pPr>
      <w:r>
        <w:t>Store at room temperature.</w:t>
      </w:r>
    </w:p>
    <w:p w14:paraId="3ABBC414">
      <w:pPr>
        <w:pStyle w:val="16"/>
      </w:pPr>
      <w:r>
        <w:t>Keep dry, clean, and away from direct sunlight.</w:t>
      </w:r>
    </w:p>
    <w:p w14:paraId="505DF93F">
      <w:pPr>
        <w:pStyle w:val="16"/>
      </w:pPr>
      <w:r>
        <w:t>Avoid high temperature and high humidity.</w:t>
      </w:r>
    </w:p>
    <w:p w14:paraId="402FD8C1">
      <w:pPr>
        <w:pStyle w:val="16"/>
      </w:pPr>
      <w:r>
        <w:t>Avoid damage to packaging materials during transportation and storage.</w:t>
      </w:r>
    </w:p>
    <w:p w14:paraId="069B290D">
      <w:pPr>
        <w:pStyle w:val="16"/>
      </w:pPr>
      <w:r>
        <w:t>Do not use after the expiry date.</w:t>
      </w:r>
    </w:p>
    <w:p w14:paraId="09828F66">
      <w:pPr>
        <w:pStyle w:val="3"/>
        <w:spacing w:after="80"/>
      </w:pPr>
      <w:r>
        <w:rPr>
          <w:rFonts w:ascii="Arial" w:hAnsi="Arial" w:eastAsia="Arial"/>
          <w:color w:val="C65A16"/>
        </w:rPr>
        <w:t>15. Shelf Life</w:t>
      </w:r>
    </w:p>
    <w:p w14:paraId="70C3EDF4">
      <w:pPr>
        <w:spacing w:after="80"/>
      </w:pPr>
      <w:r>
        <w:t>The product shelf life is 5 years from the date of manufacture, unless otherwise stated on the product label.</w:t>
      </w:r>
    </w:p>
    <w:p w14:paraId="278CA8CC">
      <w:pPr>
        <w:pStyle w:val="3"/>
        <w:spacing w:after="80"/>
      </w:pPr>
      <w:r>
        <w:rPr>
          <w:rFonts w:ascii="Arial" w:hAnsi="Arial" w:eastAsia="Arial"/>
          <w:color w:val="C65A16"/>
        </w:rPr>
        <w:t>16. Product Specifications</w:t>
      </w:r>
    </w:p>
    <w:tbl>
      <w:tblPr>
        <w:tblStyle w:val="33"/>
        <w:tblW w:w="9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7056"/>
      </w:tblGrid>
      <w:tr w14:paraId="5DBF5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5A345706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Feature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C65A16"/>
            <w:vAlign w:val="center"/>
          </w:tcPr>
          <w:p w14:paraId="24FB74DF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Specification</w:t>
            </w:r>
          </w:p>
        </w:tc>
      </w:tr>
      <w:tr w14:paraId="3D0AD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0016915">
            <w:pPr>
              <w:spacing w:after="0" w:line="252" w:lineRule="auto"/>
            </w:pPr>
            <w:r>
              <w:rPr>
                <w:color w:val="20272C"/>
                <w:sz w:val="14"/>
              </w:rPr>
              <w:t>Material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212900A8">
            <w:pPr>
              <w:spacing w:after="0" w:line="252" w:lineRule="auto"/>
            </w:pPr>
            <w:r>
              <w:rPr>
                <w:color w:val="20272C"/>
                <w:sz w:val="14"/>
              </w:rPr>
              <w:t>MaxTech 6.0 blue heat-treated NiTi alloy</w:t>
            </w:r>
          </w:p>
        </w:tc>
      </w:tr>
      <w:tr w14:paraId="6B453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651D0F5B">
            <w:pPr>
              <w:spacing w:after="0" w:line="252" w:lineRule="auto"/>
            </w:pPr>
            <w:r>
              <w:rPr>
                <w:color w:val="20272C"/>
                <w:sz w:val="14"/>
              </w:rPr>
              <w:t>Motion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6E2F106">
            <w:pPr>
              <w:spacing w:after="0" w:line="252" w:lineRule="auto"/>
            </w:pPr>
            <w:r>
              <w:rPr>
                <w:color w:val="20272C"/>
                <w:sz w:val="14"/>
              </w:rPr>
              <w:t>Continuous clockwise rotation</w:t>
            </w:r>
          </w:p>
        </w:tc>
      </w:tr>
      <w:tr w14:paraId="114C5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59D9EAD2">
            <w:pPr>
              <w:spacing w:after="0" w:line="252" w:lineRule="auto"/>
            </w:pPr>
            <w:r>
              <w:rPr>
                <w:color w:val="20272C"/>
                <w:sz w:val="14"/>
              </w:rPr>
              <w:t>Available files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8124E23">
            <w:pPr>
              <w:spacing w:after="0" w:line="252" w:lineRule="auto"/>
            </w:pPr>
            <w:r>
              <w:rPr>
                <w:color w:val="20272C"/>
                <w:sz w:val="14"/>
              </w:rPr>
              <w:t>15/.04, 20/.04, 25/.04, 30/.04, 35/.04, 40/.04; 15/.06, 20/.06, 25/.06, 30/.06, 35/.06, 40/.06</w:t>
            </w:r>
          </w:p>
        </w:tc>
      </w:tr>
      <w:tr w14:paraId="4180F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37F2E088">
            <w:pPr>
              <w:spacing w:after="0" w:line="252" w:lineRule="auto"/>
            </w:pPr>
            <w:r>
              <w:rPr>
                <w:color w:val="20272C"/>
                <w:sz w:val="14"/>
              </w:rPr>
              <w:t>Taper options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7B9C9805">
            <w:pPr>
              <w:spacing w:after="0" w:line="252" w:lineRule="auto"/>
            </w:pPr>
            <w:r>
              <w:rPr>
                <w:color w:val="20272C"/>
                <w:sz w:val="14"/>
              </w:rPr>
              <w:t>.04 and .06 constant tapers</w:t>
            </w:r>
          </w:p>
        </w:tc>
      </w:tr>
      <w:tr w14:paraId="4E47A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0B952B1E">
            <w:pPr>
              <w:spacing w:after="0" w:line="252" w:lineRule="auto"/>
            </w:pPr>
            <w:r>
              <w:rPr>
                <w:color w:val="20272C"/>
                <w:sz w:val="14"/>
              </w:rPr>
              <w:t>Size range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4A3E2FB">
            <w:pPr>
              <w:spacing w:after="0" w:line="252" w:lineRule="auto"/>
            </w:pPr>
            <w:r>
              <w:rPr>
                <w:color w:val="20272C"/>
                <w:sz w:val="14"/>
              </w:rPr>
              <w:t>ISO 15 through 40</w:t>
            </w:r>
          </w:p>
        </w:tc>
      </w:tr>
      <w:tr w14:paraId="233BF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2D4B05A2">
            <w:pPr>
              <w:spacing w:after="0" w:line="252" w:lineRule="auto"/>
            </w:pPr>
            <w:r>
              <w:rPr>
                <w:color w:val="20272C"/>
                <w:sz w:val="14"/>
              </w:rPr>
              <w:t>Cross-section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3223D1FF">
            <w:pPr>
              <w:spacing w:after="0" w:line="252" w:lineRule="auto"/>
            </w:pPr>
            <w:r>
              <w:rPr>
                <w:color w:val="20272C"/>
                <w:sz w:val="14"/>
              </w:rPr>
              <w:t>Convex triangle</w:t>
            </w:r>
          </w:p>
        </w:tc>
      </w:tr>
      <w:tr w14:paraId="38C6F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4F330618">
            <w:pPr>
              <w:spacing w:after="0" w:line="252" w:lineRule="auto"/>
            </w:pPr>
            <w:r>
              <w:rPr>
                <w:color w:val="20272C"/>
                <w:sz w:val="14"/>
              </w:rPr>
              <w:t>Tip design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37DB649">
            <w:pPr>
              <w:spacing w:after="0" w:line="252" w:lineRule="auto"/>
            </w:pPr>
            <w:r>
              <w:rPr>
                <w:color w:val="20272C"/>
                <w:sz w:val="14"/>
              </w:rPr>
              <w:t>Non-cutting guiding tip</w:t>
            </w:r>
          </w:p>
        </w:tc>
      </w:tr>
      <w:tr w14:paraId="3911E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44762472">
            <w:pPr>
              <w:spacing w:after="0" w:line="252" w:lineRule="auto"/>
            </w:pPr>
            <w:r>
              <w:rPr>
                <w:color w:val="20272C"/>
                <w:sz w:val="14"/>
              </w:rPr>
              <w:t>Maximum flute diameter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0360F133">
            <w:pPr>
              <w:spacing w:after="0" w:line="252" w:lineRule="auto"/>
            </w:pPr>
            <w:r>
              <w:rPr>
                <w:color w:val="20272C"/>
                <w:sz w:val="14"/>
              </w:rPr>
              <w:t xml:space="preserve"> </w:t>
            </w:r>
            <w:r>
              <w:rPr>
                <w:rFonts w:hint="eastAsia" w:eastAsia="宋体"/>
                <w:color w:val="20272C"/>
                <w:sz w:val="14"/>
                <w:lang w:eastAsia="zh-CN"/>
              </w:rPr>
              <w:t xml:space="preserve">0.8-1.4 </w:t>
            </w:r>
            <w:r>
              <w:rPr>
                <w:color w:val="20272C"/>
                <w:sz w:val="14"/>
              </w:rPr>
              <w:t>mm</w:t>
            </w:r>
          </w:p>
        </w:tc>
      </w:tr>
      <w:tr w14:paraId="4E0C5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7E9C6841">
            <w:pPr>
              <w:spacing w:after="0" w:line="252" w:lineRule="auto"/>
            </w:pPr>
            <w:r>
              <w:rPr>
                <w:color w:val="20272C"/>
                <w:sz w:val="14"/>
              </w:rPr>
              <w:t>Technique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51589301">
            <w:pPr>
              <w:spacing w:after="0" w:line="252" w:lineRule="auto"/>
            </w:pPr>
            <w:r>
              <w:rPr>
                <w:color w:val="20272C"/>
                <w:sz w:val="14"/>
              </w:rPr>
              <w:t>Crown-Down rotary shaping</w:t>
            </w:r>
          </w:p>
        </w:tc>
      </w:tr>
      <w:tr w14:paraId="73F1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4B7B9799">
            <w:pPr>
              <w:spacing w:after="0" w:line="252" w:lineRule="auto"/>
            </w:pPr>
            <w:r>
              <w:rPr>
                <w:color w:val="20272C"/>
                <w:sz w:val="14"/>
              </w:rPr>
              <w:t>Packaging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5F73AE42">
            <w:pPr>
              <w:spacing w:after="0" w:line="252" w:lineRule="auto"/>
            </w:pPr>
            <w:r>
              <w:rPr>
                <w:color w:val="20272C"/>
                <w:sz w:val="14"/>
              </w:rPr>
              <w:t>6 instruments per pack</w:t>
            </w:r>
          </w:p>
        </w:tc>
      </w:tr>
      <w:tr w14:paraId="4EDD2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00922A66">
            <w:pPr>
              <w:spacing w:after="0" w:line="252" w:lineRule="auto"/>
            </w:pPr>
            <w:r>
              <w:rPr>
                <w:color w:val="20272C"/>
                <w:sz w:val="14"/>
              </w:rPr>
              <w:t>Use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027147D3">
            <w:pPr>
              <w:spacing w:after="0" w:line="252" w:lineRule="auto"/>
            </w:pPr>
            <w:r>
              <w:rPr>
                <w:color w:val="20272C"/>
                <w:sz w:val="14"/>
              </w:rPr>
              <w:t>Single-use</w:t>
            </w:r>
          </w:p>
        </w:tc>
      </w:tr>
      <w:tr w14:paraId="55A0D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157C6399">
            <w:pPr>
              <w:spacing w:after="0" w:line="252" w:lineRule="auto"/>
            </w:pPr>
            <w:r>
              <w:rPr>
                <w:color w:val="20272C"/>
                <w:sz w:val="14"/>
              </w:rPr>
              <w:t>Sterility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FFF"/>
            <w:vAlign w:val="center"/>
          </w:tcPr>
          <w:p w14:paraId="6005B295">
            <w:pPr>
              <w:spacing w:after="0" w:line="252" w:lineRule="auto"/>
            </w:pPr>
            <w:r>
              <w:rPr>
                <w:color w:val="20272C"/>
                <w:sz w:val="14"/>
              </w:rPr>
              <w:t>Non-sterile; sterilize before first use</w:t>
            </w:r>
          </w:p>
        </w:tc>
      </w:tr>
      <w:tr w14:paraId="60DD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808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170B70F3">
            <w:pPr>
              <w:spacing w:after="0" w:line="252" w:lineRule="auto"/>
            </w:pPr>
            <w:r>
              <w:rPr>
                <w:color w:val="20272C"/>
                <w:sz w:val="14"/>
              </w:rPr>
              <w:t>Available lengths</w:t>
            </w:r>
          </w:p>
        </w:tc>
        <w:tc>
          <w:tcPr>
            <w:tcW w:w="7056" w:type="dxa"/>
            <w:tcBorders>
              <w:top w:val="single" w:color="D9C8BA" w:sz="4" w:space="0"/>
              <w:left w:val="single" w:color="D9C8BA" w:sz="4" w:space="0"/>
              <w:bottom w:val="single" w:color="D9C8BA" w:sz="4" w:space="0"/>
              <w:right w:val="single" w:color="D9C8BA" w:sz="4" w:space="0"/>
            </w:tcBorders>
            <w:shd w:val="clear" w:color="auto" w:fill="FFF8F2"/>
            <w:vAlign w:val="center"/>
          </w:tcPr>
          <w:p w14:paraId="2CF8D3AD">
            <w:pPr>
              <w:spacing w:after="0" w:line="252" w:lineRule="auto"/>
            </w:pPr>
            <w:r>
              <w:rPr>
                <w:color w:val="20272C"/>
                <w:sz w:val="14"/>
              </w:rPr>
              <w:t>See product label</w:t>
            </w:r>
          </w:p>
        </w:tc>
      </w:tr>
    </w:tbl>
    <w:p w14:paraId="24CF43C6">
      <w:r>
        <w:br w:type="page"/>
      </w:r>
    </w:p>
    <w:p w14:paraId="3E67C863">
      <w:pPr>
        <w:pStyle w:val="3"/>
        <w:spacing w:after="80"/>
      </w:pPr>
      <w:r>
        <w:rPr>
          <w:rFonts w:ascii="Arial" w:hAnsi="Arial" w:eastAsia="Arial"/>
          <w:color w:val="C65A16"/>
        </w:rPr>
        <w:t>17. Symbols</w:t>
      </w:r>
    </w:p>
    <w:tbl>
      <w:tblPr>
        <w:tblStyle w:val="33"/>
        <w:tblW w:w="9936" w:type="dxa"/>
        <w:jc w:val="center"/>
        <w:tblBorders>
          <w:top w:val="single" w:color="C8C8C8" w:sz="4" w:space="0"/>
          <w:left w:val="single" w:color="C8C8C8" w:sz="4" w:space="0"/>
          <w:bottom w:val="single" w:color="C8C8C8" w:sz="4" w:space="0"/>
          <w:right w:val="single" w:color="C8C8C8" w:sz="4" w:space="0"/>
          <w:insideH w:val="single" w:color="C8C8C8" w:sz="4" w:space="0"/>
          <w:insideV w:val="single" w:color="C8C8C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5"/>
        <w:gridCol w:w="8281"/>
      </w:tblGrid>
      <w:tr w14:paraId="6A3D3909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655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0160E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Symbol</w:t>
            </w:r>
          </w:p>
        </w:tc>
        <w:tc>
          <w:tcPr>
            <w:tcW w:w="8281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AE5C3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Standard</w:t>
            </w:r>
          </w:p>
        </w:tc>
      </w:tr>
      <w:tr w14:paraId="62550134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20E3F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148590" cy="137160"/>
                  <wp:effectExtent l="0" t="0" r="3810" b="0"/>
                  <wp:docPr id="2093984233" name="Picture 1" descr="A black and white image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984233" name="Picture 1" descr="A black and white image of a hous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87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96A05">
            <w:pPr>
              <w:spacing w:after="0" w:line="240" w:lineRule="auto"/>
            </w:pPr>
            <w:r>
              <w:rPr>
                <w:sz w:val="16"/>
              </w:rPr>
              <w:t>Manufacturer/ Legal Manufacturer (ISO 15223-1)</w:t>
            </w:r>
          </w:p>
        </w:tc>
      </w:tr>
      <w:tr w14:paraId="5EAF6E4E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C1B5A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246380" cy="154940"/>
                  <wp:effectExtent l="0" t="0" r="1270" b="0"/>
                  <wp:docPr id="18990752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075225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155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24860">
            <w:pPr>
              <w:spacing w:after="0" w:line="240" w:lineRule="auto"/>
            </w:pPr>
            <w:r>
              <w:rPr>
                <w:sz w:val="16"/>
              </w:rPr>
              <w:t>Reference Number (ISO 15223-1)</w:t>
            </w:r>
          </w:p>
        </w:tc>
      </w:tr>
      <w:tr w14:paraId="73464520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7819A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246380" cy="137160"/>
                  <wp:effectExtent l="0" t="0" r="1270" b="0"/>
                  <wp:docPr id="1561416951" name="Picture 1" descr="A black and white sign with let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416951" name="Picture 1" descr="A black and white sign with letter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3AD91">
            <w:pPr>
              <w:spacing w:after="0" w:line="240" w:lineRule="auto"/>
            </w:pPr>
            <w:r>
              <w:rPr>
                <w:sz w:val="16"/>
              </w:rPr>
              <w:t>Batch Code (ISO 15223-1)</w:t>
            </w:r>
          </w:p>
        </w:tc>
      </w:tr>
      <w:tr w14:paraId="1E3E81C3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6D854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114935" cy="182880"/>
                  <wp:effectExtent l="0" t="0" r="0" b="7620"/>
                  <wp:docPr id="463701085" name="Picture 1" descr="A black and white symb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701085" name="Picture 1" descr="A black and white symbol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60A85">
            <w:pPr>
              <w:spacing w:after="0" w:line="240" w:lineRule="auto"/>
            </w:pPr>
            <w:r>
              <w:rPr>
                <w:sz w:val="16"/>
              </w:rPr>
              <w:t>Used-by Date (ISO 15223-1)</w:t>
            </w:r>
          </w:p>
        </w:tc>
      </w:tr>
      <w:tr w14:paraId="7AC01208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4C99D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268605" cy="182880"/>
                  <wp:effectExtent l="0" t="0" r="0" b="7620"/>
                  <wp:docPr id="56064375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643751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94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77994">
            <w:pPr>
              <w:spacing w:after="0" w:line="240" w:lineRule="auto"/>
            </w:pPr>
            <w:r>
              <w:rPr>
                <w:sz w:val="16"/>
              </w:rPr>
              <w:t>Consult instructions for use (ISO 15223-1)</w:t>
            </w:r>
          </w:p>
        </w:tc>
      </w:tr>
      <w:tr w14:paraId="6048DC9E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0B2FF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241935" cy="228600"/>
                  <wp:effectExtent l="0" t="0" r="5715" b="0"/>
                  <wp:docPr id="153244951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244951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34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F9E4E">
            <w:pPr>
              <w:spacing w:after="0" w:line="240" w:lineRule="auto"/>
            </w:pPr>
            <w:r>
              <w:rPr>
                <w:sz w:val="16"/>
              </w:rPr>
              <w:t>Caution (ISO 15223-1)</w:t>
            </w:r>
          </w:p>
        </w:tc>
      </w:tr>
      <w:tr w14:paraId="67864F8E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481C6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309245" cy="137160"/>
                  <wp:effectExtent l="0" t="0" r="0" b="0"/>
                  <wp:docPr id="700710961" name="Picture 11" descr="A black and white sign with let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710961" name="Picture 11" descr="A black and white sign with letter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311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363BE">
            <w:pPr>
              <w:spacing w:after="0" w:line="240" w:lineRule="auto"/>
            </w:pPr>
            <w:r>
              <w:rPr>
                <w:sz w:val="16"/>
              </w:rPr>
              <w:t>Made using heat-treated Nickel-Titanium alloy</w:t>
            </w:r>
          </w:p>
        </w:tc>
      </w:tr>
      <w:tr w14:paraId="6B968E37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6EB34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179070" cy="137160"/>
                  <wp:effectExtent l="0" t="0" r="0" b="0"/>
                  <wp:docPr id="20875721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57214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32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A03F4">
            <w:pPr>
              <w:pStyle w:val="166"/>
              <w:rPr>
                <w:rFonts w:ascii="Arial" w:hAnsi="Arial" w:eastAsia="Arial" w:cstheme="minorBidi"/>
                <w:color w:val="auto"/>
                <w:sz w:val="18"/>
                <w:szCs w:val="22"/>
                <w:lang w:val="en-US"/>
                <w14:ligatures w14:val="none"/>
              </w:rPr>
            </w:pPr>
            <w:r>
              <w:rPr>
                <w:rFonts w:ascii="Arial" w:hAnsi="Arial" w:eastAsia="Arial" w:cstheme="minorBidi"/>
                <w:color w:val="auto"/>
                <w:sz w:val="16"/>
                <w:szCs w:val="22"/>
                <w:lang w:val="en-US"/>
                <w14:ligatures w14:val="none"/>
              </w:rPr>
              <w:t>European conformity:MDD 93/42/EEC IVDD 98/79/EC Article 16.2</w:t>
            </w:r>
          </w:p>
        </w:tc>
      </w:tr>
      <w:tr w14:paraId="209D673D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AC773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147320" cy="137160"/>
                  <wp:effectExtent l="0" t="0" r="5080" b="0"/>
                  <wp:docPr id="823063657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063657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58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2236CF">
            <w:pPr>
              <w:spacing w:after="0" w:line="240" w:lineRule="auto"/>
            </w:pPr>
            <w:r>
              <w:rPr>
                <w:sz w:val="16"/>
              </w:rPr>
              <w:t>Date of manufacture: ISO 15223-1:2016</w:t>
            </w:r>
          </w:p>
        </w:tc>
      </w:tr>
      <w:tr w14:paraId="4A6F51CA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E3FF0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414655" cy="182880"/>
                  <wp:effectExtent l="0" t="0" r="4445" b="7620"/>
                  <wp:docPr id="148420829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20829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953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7BD8B">
            <w:pPr>
              <w:spacing w:after="0" w:line="240" w:lineRule="auto"/>
            </w:pPr>
            <w:r>
              <w:rPr>
                <w:sz w:val="16"/>
              </w:rPr>
              <w:t>Authorized representative in Europe: ISO 15223-1:2016</w:t>
            </w:r>
          </w:p>
        </w:tc>
      </w:tr>
      <w:tr w14:paraId="5667F146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1997C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227330" cy="137160"/>
                  <wp:effectExtent l="0" t="0" r="1270" b="0"/>
                  <wp:docPr id="1882292776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29277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150" b="196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72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A017C">
            <w:pPr>
              <w:spacing w:after="0" w:line="240" w:lineRule="auto"/>
            </w:pPr>
            <w:r>
              <w:rPr>
                <w:sz w:val="16"/>
              </w:rPr>
              <w:t>Medical device: ISO 15223-1:2021</w:t>
            </w:r>
          </w:p>
        </w:tc>
      </w:tr>
      <w:tr w14:paraId="17E3B826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FF4C0">
            <w:pPr>
              <w:spacing w:after="0" w:line="240" w:lineRule="auto"/>
            </w:pPr>
            <w:r>
              <w:rPr>
                <w:sz w:val="14"/>
                <w:szCs w:val="16"/>
              </w:rPr>
              <w:drawing>
                <wp:inline distT="0" distB="0" distL="0" distR="0">
                  <wp:extent cx="235585" cy="228600"/>
                  <wp:effectExtent l="0" t="0" r="0" b="0"/>
                  <wp:docPr id="2035478872" name="Picture 17" descr="A black circle with a black arrow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478872" name="Picture 17" descr="A black circle with a black arrow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D6049">
            <w:pPr>
              <w:pStyle w:val="166"/>
              <w:rPr>
                <w:rFonts w:ascii="Arial" w:hAnsi="Arial" w:eastAsia="Arial" w:cstheme="minorBidi"/>
                <w:color w:val="auto"/>
                <w:sz w:val="18"/>
                <w:szCs w:val="22"/>
                <w:lang w:val="en-US"/>
                <w14:ligatures w14:val="none"/>
              </w:rPr>
            </w:pPr>
            <w:r>
              <w:rPr>
                <w:rFonts w:ascii="Arial" w:hAnsi="Arial" w:eastAsia="Arial" w:cstheme="minorBidi"/>
                <w:color w:val="auto"/>
                <w:sz w:val="16"/>
                <w:szCs w:val="22"/>
                <w:lang w:val="en-US"/>
                <w14:ligatures w14:val="none"/>
              </w:rPr>
              <w:t>Adjustment of rotation speed ISO 21531 (ISO no. 7000-0258)</w:t>
            </w:r>
          </w:p>
        </w:tc>
      </w:tr>
      <w:tr w14:paraId="436514B5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C454D">
            <w:pPr>
              <w:spacing w:after="0" w:line="240" w:lineRule="auto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222250" cy="200660"/>
                  <wp:effectExtent l="0" t="0" r="6350" b="8890"/>
                  <wp:docPr id="1104566643" name="Picture 5" descr="A triangle with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566643" name="Picture 5" descr="A triangle with black text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26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B56FD">
            <w:pPr>
              <w:spacing w:after="0" w:line="240" w:lineRule="auto"/>
            </w:pPr>
            <w:r>
              <w:rPr>
                <w:sz w:val="16"/>
              </w:rPr>
              <w:t>Medical device that has not been subjected to a sterilization process. 5.2.7</w:t>
            </w:r>
          </w:p>
        </w:tc>
      </w:tr>
      <w:tr w14:paraId="442F87A6">
        <w:tblPrEx>
          <w:tblBorders>
            <w:top w:val="single" w:color="C8C8C8" w:sz="4" w:space="0"/>
            <w:left w:val="single" w:color="C8C8C8" w:sz="4" w:space="0"/>
            <w:bottom w:val="single" w:color="C8C8C8" w:sz="4" w:space="0"/>
            <w:right w:val="single" w:color="C8C8C8" w:sz="4" w:space="0"/>
            <w:insideH w:val="single" w:color="C8C8C8" w:sz="4" w:space="0"/>
            <w:insideV w:val="single" w:color="C8C8C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833B5">
            <w:pPr>
              <w:spacing w:after="0" w:line="240" w:lineRule="auto"/>
            </w:pPr>
            <w:r>
              <w:rPr>
                <w:sz w:val="16"/>
                <w:szCs w:val="16"/>
              </w:rPr>
              <w:t>`</w:t>
            </w:r>
            <w:r>
              <w:rPr>
                <w:sz w:val="16"/>
                <w:szCs w:val="16"/>
              </w:rPr>
              <w:drawing>
                <wp:inline distT="0" distB="0" distL="0" distR="0">
                  <wp:extent cx="182880" cy="182880"/>
                  <wp:effectExtent l="0" t="0" r="7620" b="7620"/>
                  <wp:docPr id="1887638471" name="Picture 7" descr="A sign with a temperature and a few wa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7638471" name="Picture 7" descr="A sign with a temperature and a few wave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452F6">
            <w:pPr>
              <w:spacing w:after="0" w:line="240" w:lineRule="auto"/>
            </w:pPr>
            <w:r>
              <w:rPr>
                <w:sz w:val="16"/>
              </w:rPr>
              <w:t>Autoclavable at the indicated temperature</w:t>
            </w:r>
          </w:p>
        </w:tc>
      </w:tr>
    </w:tbl>
    <w:p w14:paraId="0D650C2B"/>
    <w:p w14:paraId="1908D354"/>
    <w:p w14:paraId="4E20A41B"/>
    <w:tbl>
      <w:tblPr>
        <w:tblStyle w:val="33"/>
        <w:tblW w:w="0" w:type="auto"/>
        <w:tblInd w:w="6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5040"/>
      </w:tblGrid>
      <w:tr w14:paraId="4709C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4F7AA075">
            <w:pPr>
              <w:spacing w:after="0" w:line="360" w:lineRule="auto"/>
            </w:pPr>
            <w:r>
              <w:rPr>
                <w:sz w:val="17"/>
              </w:rPr>
              <w:drawing>
                <wp:inline distT="0" distB="0" distL="0" distR="0">
                  <wp:extent cx="292100" cy="298450"/>
                  <wp:effectExtent l="0" t="0" r="0" b="6350"/>
                  <wp:docPr id="2441916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191659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56" cy="304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Merge w:val="restart"/>
          </w:tcPr>
          <w:p w14:paraId="2E6A8198">
            <w:pPr>
              <w:spacing w:after="0" w:line="360" w:lineRule="auto"/>
              <w:rPr>
                <w:color w:val="7F7F7F" w:themeColor="background1" w:themeShade="80"/>
              </w:rPr>
            </w:pPr>
            <w:r>
              <w:rPr>
                <w:color w:val="7F7F7F" w:themeColor="background1" w:themeShade="80"/>
                <w:sz w:val="17"/>
              </w:rPr>
              <w:t>Shenzhen Superline Technology Co., Ltd.</w:t>
            </w:r>
          </w:p>
          <w:p w14:paraId="46FA7CEF">
            <w:pPr>
              <w:spacing w:after="0" w:line="360" w:lineRule="auto"/>
              <w:rPr>
                <w:color w:val="7F7F7F" w:themeColor="background1" w:themeShade="80"/>
              </w:rPr>
            </w:pPr>
            <w:r>
              <w:rPr>
                <w:color w:val="7F7F7F" w:themeColor="background1" w:themeShade="80"/>
                <w:sz w:val="17"/>
              </w:rPr>
              <w:t>Factory: B401 &amp; 501, Haomai Industry Park, No. 2 Rongfeng Road, Jinsha Community, Kengzi Street, Pingshan, Shenzhen, Guangdong, P.R. China</w:t>
            </w:r>
          </w:p>
          <w:p w14:paraId="1297B910">
            <w:pPr>
              <w:spacing w:after="0" w:line="360" w:lineRule="auto"/>
              <w:rPr>
                <w:color w:val="7F7F7F" w:themeColor="background1" w:themeShade="80"/>
              </w:rPr>
            </w:pPr>
            <w:r>
              <w:rPr>
                <w:color w:val="7F7F7F" w:themeColor="background1" w:themeShade="80"/>
                <w:sz w:val="17"/>
              </w:rPr>
              <w:t>Phone: +86 (0755) 26016056</w:t>
            </w:r>
          </w:p>
          <w:p w14:paraId="61A3654A">
            <w:pPr>
              <w:spacing w:after="0" w:line="360" w:lineRule="auto"/>
              <w:rPr>
                <w:color w:val="7F7F7F" w:themeColor="background1" w:themeShade="80"/>
              </w:rPr>
            </w:pPr>
            <w:r>
              <w:rPr>
                <w:rFonts w:hint="eastAsia" w:eastAsia="宋体"/>
                <w:color w:val="7F7F7F" w:themeColor="background1" w:themeShade="80"/>
                <w:sz w:val="17"/>
                <w:lang w:eastAsia="zh-CN"/>
              </w:rPr>
              <w:t>sales</w:t>
            </w:r>
            <w:r>
              <w:rPr>
                <w:color w:val="7F7F7F" w:themeColor="background1" w:themeShade="80"/>
                <w:sz w:val="17"/>
              </w:rPr>
              <w:t>@supline.com</w:t>
            </w:r>
          </w:p>
          <w:p w14:paraId="5471B6DA">
            <w:pPr>
              <w:spacing w:after="0" w:line="360" w:lineRule="auto"/>
              <w:rPr>
                <w:color w:val="7F7F7F" w:themeColor="background1" w:themeShade="80"/>
              </w:rPr>
            </w:pPr>
            <w:r>
              <w:rPr>
                <w:color w:val="7F7F7F" w:themeColor="background1" w:themeShade="80"/>
                <w:sz w:val="17"/>
              </w:rPr>
              <w:t>www.nicdental.com</w:t>
            </w:r>
          </w:p>
          <w:p w14:paraId="2980A369">
            <w:pPr>
              <w:spacing w:after="0" w:line="360" w:lineRule="auto"/>
            </w:pPr>
          </w:p>
        </w:tc>
      </w:tr>
      <w:tr w14:paraId="22B63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</w:tcPr>
          <w:p w14:paraId="5C494564">
            <w:pPr>
              <w:spacing w:after="0" w:line="360" w:lineRule="auto"/>
            </w:pPr>
            <w:r>
              <w:rPr>
                <w:sz w:val="17"/>
              </w:rPr>
              <w:drawing>
                <wp:inline distT="0" distB="0" distL="0" distR="0">
                  <wp:extent cx="288290" cy="361950"/>
                  <wp:effectExtent l="0" t="0" r="0" b="0"/>
                  <wp:docPr id="881184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1846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38" cy="368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Merge w:val="continue"/>
          </w:tcPr>
          <w:p w14:paraId="01F803CB">
            <w:pPr>
              <w:spacing w:after="0" w:line="360" w:lineRule="auto"/>
            </w:pPr>
          </w:p>
        </w:tc>
      </w:tr>
    </w:tbl>
    <w:p w14:paraId="559BA7A1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728" w:right="936" w:bottom="792" w:left="936" w:header="360" w:footer="36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87778">
    <w:pPr>
      <w:pStyle w:val="24"/>
      <w:jc w:val="center"/>
      <w:rPr>
        <w:rFonts w:eastAsia="宋体"/>
        <w:lang w:eastAsia="zh-CN"/>
      </w:rPr>
    </w:pPr>
    <w:r>
      <w:rPr>
        <w:rFonts w:hint="eastAsia" w:eastAsia="宋体"/>
        <w:color w:val="282828"/>
        <w:sz w:val="16"/>
        <w:lang w:eastAsia="zh-CN"/>
      </w:rPr>
      <w:t>US D</w:t>
    </w:r>
    <w:r>
      <w:rPr>
        <w:color w:val="282828"/>
        <w:sz w:val="16"/>
      </w:rPr>
      <w:t xml:space="preserve">istributor: </w:t>
    </w:r>
    <w:r>
      <w:rPr>
        <w:rFonts w:hint="eastAsia" w:eastAsia="宋体"/>
        <w:color w:val="282828"/>
        <w:sz w:val="16"/>
        <w:lang w:eastAsia="zh-CN"/>
      </w:rPr>
      <w:t>NICTEK., LLC</w:t>
    </w:r>
    <w:r>
      <w:rPr>
        <w:color w:val="282828"/>
        <w:sz w:val="16"/>
      </w:rPr>
      <w:t xml:space="preserve">. | </w:t>
    </w:r>
    <w:r>
      <w:rPr>
        <w:rFonts w:hint="eastAsia" w:eastAsia="宋体"/>
        <w:color w:val="282828"/>
        <w:sz w:val="16"/>
        <w:lang w:eastAsia="zh-CN"/>
      </w:rPr>
      <w:t>support@nictek.us</w:t>
    </w:r>
    <w:r>
      <w:rPr>
        <w:color w:val="282828"/>
        <w:sz w:val="16"/>
      </w:rPr>
      <w:t xml:space="preserve"> | www.</w:t>
    </w:r>
    <w:r>
      <w:rPr>
        <w:rFonts w:hint="eastAsia" w:eastAsia="宋体"/>
        <w:color w:val="282828"/>
        <w:sz w:val="16"/>
        <w:lang w:eastAsia="zh-CN"/>
      </w:rPr>
      <w:t>nictek</w:t>
    </w:r>
    <w:r>
      <w:rPr>
        <w:color w:val="282828"/>
        <w:sz w:val="16"/>
      </w:rPr>
      <w:t>.</w:t>
    </w:r>
    <w:r>
      <w:rPr>
        <w:rFonts w:hint="eastAsia" w:eastAsia="宋体"/>
        <w:color w:val="282828"/>
        <w:sz w:val="16"/>
        <w:lang w:eastAsia="zh-CN"/>
      </w:rPr>
      <w:t>us</w:t>
    </w:r>
  </w:p>
  <w:p w14:paraId="73DB92EC">
    <w:pPr>
      <w:pStyle w:val="24"/>
      <w:jc w:val="center"/>
      <w:rPr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CE068">
    <w:pPr>
      <w:pStyle w:val="2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4FCC3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3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178"/>
      <w:gridCol w:w="8406"/>
    </w:tblGrid>
    <w:tr w14:paraId="763BBBAA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178" w:type="dxa"/>
          <w:vAlign w:val="center"/>
        </w:tcPr>
        <w:p w14:paraId="24D47186">
          <w:pPr>
            <w:pStyle w:val="25"/>
          </w:pPr>
          <w:r>
            <w:drawing>
              <wp:inline distT="0" distB="0" distL="0" distR="0">
                <wp:extent cx="1155700" cy="363855"/>
                <wp:effectExtent l="0" t="0" r="6350" b="17145"/>
                <wp:docPr id="166453378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4533781" name="Pictur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3213" cy="373069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sx="54000" sy="54000" algn="ctr" rotWithShape="0">
                            <a:srgbClr val="000000">
                              <a:alpha val="43137"/>
                            </a:srgbClr>
                          </a:outerShdw>
                          <a:softEdge rad="0"/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06" w:type="dxa"/>
          <w:vAlign w:val="center"/>
        </w:tcPr>
        <w:p w14:paraId="0513EEEF">
          <w:pPr>
            <w:spacing w:after="0" w:line="360" w:lineRule="auto"/>
            <w:rPr>
              <w:b/>
              <w:color w:val="FFFFFF" w:themeColor="background1"/>
              <w:sz w:val="32"/>
              <w:szCs w:val="20"/>
              <w14:textFill>
                <w14:solidFill>
                  <w14:schemeClr w14:val="bg1"/>
                </w14:solidFill>
              </w14:textFill>
            </w:rPr>
          </w:pPr>
          <w:r>
            <w:rPr>
              <w:b/>
              <w:color w:val="FFFFFF"/>
              <w:sz w:val="32"/>
            </w:rPr>
            <w:t>NIC® KD Blue Heat-Treated NiTi Rotary Files</w:t>
          </w:r>
        </w:p>
        <w:p w14:paraId="68C204B6">
          <w:pPr>
            <w:spacing w:after="0" w:line="360" w:lineRule="auto"/>
            <w:rPr>
              <w:b/>
              <w:bCs/>
              <w:color w:val="FFFFFF" w:themeColor="background1"/>
              <w14:textFill>
                <w14:solidFill>
                  <w14:schemeClr w14:val="bg1"/>
                </w14:solidFill>
              </w14:textFill>
            </w:rPr>
          </w:pPr>
          <w:r>
            <w:rPr>
              <w:b/>
              <w:color w:val="FFFFFF"/>
              <w:sz w:val="22"/>
            </w:rPr>
            <w:t>Instruction For Use (Non-Sterile)</w:t>
          </w:r>
        </w:p>
      </w:tc>
    </w:tr>
  </w:tbl>
  <w:p w14:paraId="6C9B6B21">
    <w:pPr>
      <w:pStyle w:val="25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-784860</wp:posOffset>
              </wp:positionH>
              <wp:positionV relativeFrom="paragraph">
                <wp:posOffset>-851535</wp:posOffset>
              </wp:positionV>
              <wp:extent cx="8382000" cy="1022350"/>
              <wp:effectExtent l="57150" t="19050" r="76200" b="82550"/>
              <wp:wrapNone/>
              <wp:docPr id="1523426942" name="Flowchart: Documen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82000" cy="102235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57000">
                            <a:srgbClr val="6F3F18"/>
                          </a:gs>
                          <a:gs pos="0">
                            <a:schemeClr val="tx1"/>
                          </a:gs>
                          <a:gs pos="100000">
                            <a:srgbClr val="F68D36"/>
                          </a:gs>
                        </a:gsLst>
                        <a:lin ang="0" scaled="1"/>
                        <a:tileRect/>
                      </a:gradFill>
                    </wps:spPr>
                    <wps:style>
                      <a:lnRef idx="1">
                        <a:schemeClr val="accent6"/>
                      </a:lnRef>
                      <a:fillRef idx="3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lowchart: Document 5" o:spid="_x0000_s1026" o:spt="114" type="#_x0000_t114" style="position:absolute;left:0pt;margin-left:-61.8pt;margin-top:-67.05pt;height:80.5pt;width:660pt;z-index:-251657216;v-text-anchor:middle;mso-width-relative:page;mso-height-relative:page;" fillcolor="#000000 [3213]" filled="t" stroked="t" coordsize="21600,21600" o:gfxdata="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">
              <v:fill type="gradient" on="t" color2="#F68D36" colors="0f #000000;37356f #6F3F18;65536f #F68D36" angle="90" focus="100%" focussize="0,0" rotate="t"/>
              <v:stroke color="#F69240 [3209]" joinstyle="round"/>
              <v:imagedata o:title=""/>
              <o:lock v:ext="edit" aspectratio="f"/>
              <v:shadow on="t" color="#000000" opacity="22937f" offset="0pt,1.81102362204724pt" origin="0f,32768f" matrix="65536f,0f,0f,65536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FA0D6">
    <w:pPr>
      <w:pStyle w:val="2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D8468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OTM5MjhlZDBiYmY0YTkxNzMyMjAxMTJhYWZmZDgifQ=="/>
  </w:docVars>
  <w:rsids>
    <w:rsidRoot w:val="00B47730"/>
    <w:rsid w:val="000149AE"/>
    <w:rsid w:val="00034616"/>
    <w:rsid w:val="0004759C"/>
    <w:rsid w:val="0006063C"/>
    <w:rsid w:val="00077E3B"/>
    <w:rsid w:val="00077EC8"/>
    <w:rsid w:val="000E6D0E"/>
    <w:rsid w:val="000F6107"/>
    <w:rsid w:val="00126DA8"/>
    <w:rsid w:val="00143EDB"/>
    <w:rsid w:val="0015074B"/>
    <w:rsid w:val="001956F2"/>
    <w:rsid w:val="001E3FF2"/>
    <w:rsid w:val="0020697C"/>
    <w:rsid w:val="00216994"/>
    <w:rsid w:val="00255394"/>
    <w:rsid w:val="002772FA"/>
    <w:rsid w:val="0029639D"/>
    <w:rsid w:val="002C2A3F"/>
    <w:rsid w:val="002D3D8B"/>
    <w:rsid w:val="00305CBA"/>
    <w:rsid w:val="00326F90"/>
    <w:rsid w:val="00341BFE"/>
    <w:rsid w:val="003C5EA7"/>
    <w:rsid w:val="003F3E8C"/>
    <w:rsid w:val="004858EC"/>
    <w:rsid w:val="004A792F"/>
    <w:rsid w:val="004C6BB1"/>
    <w:rsid w:val="0054791F"/>
    <w:rsid w:val="00556590"/>
    <w:rsid w:val="005F0B80"/>
    <w:rsid w:val="006D416D"/>
    <w:rsid w:val="0074538C"/>
    <w:rsid w:val="00786005"/>
    <w:rsid w:val="00792892"/>
    <w:rsid w:val="007B7EE9"/>
    <w:rsid w:val="007C572B"/>
    <w:rsid w:val="007E1BA5"/>
    <w:rsid w:val="007F36B8"/>
    <w:rsid w:val="00800348"/>
    <w:rsid w:val="00872BE8"/>
    <w:rsid w:val="008F061C"/>
    <w:rsid w:val="009D056A"/>
    <w:rsid w:val="00A41E6A"/>
    <w:rsid w:val="00A928D3"/>
    <w:rsid w:val="00AA1D8D"/>
    <w:rsid w:val="00AE7BAF"/>
    <w:rsid w:val="00B47730"/>
    <w:rsid w:val="00B84FDA"/>
    <w:rsid w:val="00BA7333"/>
    <w:rsid w:val="00BB7FE5"/>
    <w:rsid w:val="00C369DC"/>
    <w:rsid w:val="00CB0664"/>
    <w:rsid w:val="00CC2BF6"/>
    <w:rsid w:val="00D411EB"/>
    <w:rsid w:val="00D45684"/>
    <w:rsid w:val="00D84AA9"/>
    <w:rsid w:val="00DA6C7B"/>
    <w:rsid w:val="00DD45F1"/>
    <w:rsid w:val="00EA2ABF"/>
    <w:rsid w:val="00EB22BA"/>
    <w:rsid w:val="00F22614"/>
    <w:rsid w:val="00F81993"/>
    <w:rsid w:val="00F9364D"/>
    <w:rsid w:val="00FC693F"/>
    <w:rsid w:val="02A9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59" w:lineRule="auto"/>
    </w:pPr>
    <w:rPr>
      <w:rFonts w:ascii="Arial" w:hAnsi="Arial" w:eastAsia="Arial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0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spacing w:after="60"/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spacing w:after="60"/>
      <w:contextualSpacing/>
    </w:pPr>
  </w:style>
  <w:style w:type="paragraph" w:styleId="17">
    <w:name w:val="Body Text 3"/>
    <w:basedOn w:val="1"/>
    <w:link w:val="147"/>
    <w:unhideWhenUsed/>
    <w:uiPriority w:val="99"/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line="480" w:lineRule="auto"/>
    </w:pPr>
  </w:style>
  <w:style w:type="paragraph" w:styleId="29">
    <w:name w:val="List Continue 2"/>
    <w:basedOn w:val="1"/>
    <w:unhideWhenUsed/>
    <w:uiPriority w:val="99"/>
    <w:pPr>
      <w:ind w:left="720"/>
      <w:contextualSpacing/>
    </w:pPr>
  </w:style>
  <w:style w:type="paragraph" w:styleId="30">
    <w:name w:val="List Continue 3"/>
    <w:basedOn w:val="1"/>
    <w:unhideWhenUsed/>
    <w:uiPriority w:val="99"/>
    <w:pPr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uiPriority w:val="99"/>
  </w:style>
  <w:style w:type="character" w:customStyle="1" w:styleId="137">
    <w:name w:val="Footer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uiPriority w:val="99"/>
  </w:style>
  <w:style w:type="character" w:customStyle="1" w:styleId="146">
    <w:name w:val="Body Text 2 Char"/>
    <w:basedOn w:val="132"/>
    <w:link w:val="28"/>
    <w:uiPriority w:val="99"/>
  </w:style>
  <w:style w:type="character" w:customStyle="1" w:styleId="147">
    <w:name w:val="Body Text 3 Char"/>
    <w:basedOn w:val="132"/>
    <w:link w:val="17"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Unresolved Mention"/>
    <w:basedOn w:val="132"/>
    <w:semiHidden/>
    <w:unhideWhenUsed/>
    <w:uiPriority w:val="99"/>
    <w:rPr>
      <w:color w:val="605E5C"/>
      <w:shd w:val="clear" w:color="auto" w:fill="E1DFDD"/>
    </w:rPr>
  </w:style>
  <w:style w:type="paragraph" w:customStyle="1" w:styleId="166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sz w:val="24"/>
      <w:szCs w:val="24"/>
      <w:lang w:val="en-CA" w:eastAsia="en-US" w:bidi="ar-SA"/>
      <w14:ligatures w14:val="standardContextual"/>
    </w:rPr>
  </w:style>
  <w:style w:type="paragraph" w:customStyle="1" w:styleId="167">
    <w:name w:val="Revision"/>
    <w:hidden/>
    <w:semiHidden/>
    <w:uiPriority w:val="99"/>
    <w:pPr>
      <w:spacing w:after="0" w:line="240" w:lineRule="auto"/>
    </w:pPr>
    <w:rPr>
      <w:rFonts w:ascii="Arial" w:hAnsi="Arial" w:eastAsia="Arial" w:cstheme="minorBidi"/>
      <w:sz w:val="18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customXml" Target="../customXml/item2.xml"/><Relationship Id="rId3" Type="http://schemas.openxmlformats.org/officeDocument/2006/relationships/footnotes" Target="footnotes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jpeg"/><Relationship Id="rId22" Type="http://schemas.openxmlformats.org/officeDocument/2006/relationships/image" Target="media/image12.emf"/><Relationship Id="rId21" Type="http://schemas.openxmlformats.org/officeDocument/2006/relationships/image" Target="media/image11.emf"/><Relationship Id="rId20" Type="http://schemas.openxmlformats.org/officeDocument/2006/relationships/image" Target="media/image10.emf"/><Relationship Id="rId2" Type="http://schemas.openxmlformats.org/officeDocument/2006/relationships/settings" Target="settings.xml"/><Relationship Id="rId19" Type="http://schemas.openxmlformats.org/officeDocument/2006/relationships/image" Target="media/image9.emf"/><Relationship Id="rId18" Type="http://schemas.openxmlformats.org/officeDocument/2006/relationships/image" Target="media/image8.jpeg"/><Relationship Id="rId17" Type="http://schemas.openxmlformats.org/officeDocument/2006/relationships/image" Target="media/image7.emf"/><Relationship Id="rId16" Type="http://schemas.openxmlformats.org/officeDocument/2006/relationships/image" Target="media/image6.emf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emf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1930</Words>
  <Characters>11042</Characters>
  <Lines>92</Lines>
  <Paragraphs>26</Paragraphs>
  <TotalTime>130</TotalTime>
  <ScaleCrop>false</ScaleCrop>
  <LinksUpToDate>false</LinksUpToDate>
  <CharactersWithSpaces>12674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Leonl</dc:creator>
  <dc:description>generated by python-docx</dc:description>
  <cp:lastModifiedBy>Leonl</cp:lastModifiedBy>
  <cp:lastPrinted>2026-07-10T17:18:00Z</cp:lastPrinted>
  <dcterms:modified xsi:type="dcterms:W3CDTF">2026-08-10T07:23:37Z</dcterms:modified>
  <dc:title>NIC KD Blue IFU - Non-Sterile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6ac51fab-a9f9-4922-bddd-c29b89cfb772</vt:lpwstr>
  </property>
  <property fmtid="{D5CDD505-2E9C-101B-9397-08002B2CF9AE}" pid="3" name="KSOProductBuildVer">
    <vt:lpwstr>2052-12.1.0.17147</vt:lpwstr>
  </property>
  <property fmtid="{D5CDD505-2E9C-101B-9397-08002B2CF9AE}" pid="4" name="ICV">
    <vt:lpwstr>A051E0A6A54B4B479754AE6D670E2866_12</vt:lpwstr>
  </property>
</Properties>
</file>